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322"/>
      </w:tblGrid>
      <w:tr w:rsidR="007D0DCD" w:rsidRPr="007D0DCD" w14:paraId="427F8D5C" w14:textId="77777777" w:rsidTr="00AD33B1">
        <w:tc>
          <w:tcPr>
            <w:tcW w:w="0" w:type="auto"/>
          </w:tcPr>
          <w:p w14:paraId="58655520" w14:textId="77777777" w:rsidR="007D0DCD" w:rsidRPr="007D0DCD" w:rsidRDefault="007D0DCD" w:rsidP="007D0DCD">
            <w:pPr>
              <w:rPr>
                <w:rFonts w:ascii="Calibri" w:eastAsia="Times New Roman" w:hAnsi="Calibri"/>
                <w:sz w:val="72"/>
                <w:szCs w:val="72"/>
              </w:rPr>
            </w:pPr>
            <w:r w:rsidRPr="007D0DCD">
              <w:rPr>
                <w:rFonts w:ascii="Calibri" w:eastAsia="Times New Roman" w:hAnsi="Calibri"/>
                <w:sz w:val="72"/>
                <w:szCs w:val="72"/>
              </w:rPr>
              <w:t>The Trust</w:t>
            </w:r>
          </w:p>
        </w:tc>
      </w:tr>
      <w:tr w:rsidR="007D0DCD" w:rsidRPr="007D0DCD" w14:paraId="7952093F" w14:textId="77777777" w:rsidTr="00AD33B1">
        <w:tc>
          <w:tcPr>
            <w:tcW w:w="0" w:type="auto"/>
          </w:tcPr>
          <w:p w14:paraId="325EC901" w14:textId="52982BAE" w:rsidR="007D0DCD" w:rsidRPr="007D0DCD" w:rsidRDefault="00AA081C" w:rsidP="00AA081C">
            <w:pPr>
              <w:jc w:val="left"/>
              <w:rPr>
                <w:rFonts w:ascii="Calibri" w:eastAsia="Times New Roman" w:hAnsi="Calibri"/>
                <w:sz w:val="40"/>
                <w:szCs w:val="40"/>
              </w:rPr>
            </w:pPr>
            <w:r w:rsidRPr="00DC668B">
              <w:rPr>
                <w:rFonts w:ascii="Calibri" w:eastAsia="Times New Roman" w:hAnsi="Calibri"/>
                <w:sz w:val="40"/>
                <w:szCs w:val="40"/>
              </w:rPr>
              <w:t>Rent Setting and Service Charges Policy</w:t>
            </w:r>
          </w:p>
        </w:tc>
      </w:tr>
      <w:tr w:rsidR="007D0DCD" w:rsidRPr="007D0DCD" w14:paraId="4DB85CCC" w14:textId="77777777" w:rsidTr="00AD33B1">
        <w:tc>
          <w:tcPr>
            <w:tcW w:w="0" w:type="auto"/>
          </w:tcPr>
          <w:p w14:paraId="5B39A694" w14:textId="3675BF26" w:rsidR="00B54DF7" w:rsidRPr="0044461A" w:rsidRDefault="00DD6A8A" w:rsidP="00B2247A">
            <w:pPr>
              <w:jc w:val="left"/>
              <w:rPr>
                <w:rFonts w:ascii="Calibri" w:eastAsia="Times New Roman" w:hAnsi="Calibri"/>
                <w:i/>
                <w:iCs/>
                <w:color w:val="4F6228" w:themeColor="accent3" w:themeShade="80"/>
                <w:sz w:val="28"/>
                <w:szCs w:val="28"/>
              </w:rPr>
            </w:pPr>
            <w:r>
              <w:rPr>
                <w:rFonts w:ascii="Calibri" w:eastAsia="Times New Roman" w:hAnsi="Calibri"/>
                <w:sz w:val="28"/>
                <w:szCs w:val="28"/>
              </w:rPr>
              <w:t xml:space="preserve">Version number: </w:t>
            </w:r>
            <w:r w:rsidR="00DE372B" w:rsidRPr="00DE372B">
              <w:rPr>
                <w:rFonts w:ascii="Calibri" w:eastAsia="Times New Roman" w:hAnsi="Calibri"/>
                <w:color w:val="FF0000"/>
                <w:sz w:val="28"/>
                <w:szCs w:val="28"/>
              </w:rPr>
              <w:t xml:space="preserve"> </w:t>
            </w:r>
            <w:r w:rsidR="0044461A">
              <w:rPr>
                <w:rFonts w:ascii="Calibri" w:eastAsia="Times New Roman" w:hAnsi="Calibri"/>
                <w:color w:val="4F6228" w:themeColor="accent3" w:themeShade="80"/>
                <w:sz w:val="28"/>
                <w:szCs w:val="28"/>
              </w:rPr>
              <w:t>7</w:t>
            </w:r>
          </w:p>
        </w:tc>
      </w:tr>
      <w:tr w:rsidR="007D0DCD" w:rsidRPr="007D0DCD" w14:paraId="32CFE814" w14:textId="77777777" w:rsidTr="00AD33B1">
        <w:tc>
          <w:tcPr>
            <w:tcW w:w="0" w:type="auto"/>
          </w:tcPr>
          <w:p w14:paraId="0F490629" w14:textId="731500BE" w:rsidR="00B2247A" w:rsidRPr="0044461A" w:rsidRDefault="00DD6A8A" w:rsidP="00B2247A">
            <w:pPr>
              <w:jc w:val="left"/>
              <w:rPr>
                <w:rFonts w:ascii="Calibri" w:eastAsia="Times New Roman" w:hAnsi="Calibri"/>
                <w:i/>
                <w:iCs/>
                <w:color w:val="4F6228" w:themeColor="accent3" w:themeShade="80"/>
                <w:sz w:val="28"/>
                <w:szCs w:val="28"/>
              </w:rPr>
            </w:pPr>
            <w:r>
              <w:rPr>
                <w:rFonts w:ascii="Calibri" w:eastAsia="Times New Roman" w:hAnsi="Calibri"/>
                <w:sz w:val="28"/>
                <w:szCs w:val="28"/>
              </w:rPr>
              <w:t>Effective Date:</w:t>
            </w:r>
            <w:r w:rsidR="00DE372B">
              <w:rPr>
                <w:rFonts w:ascii="Calibri" w:eastAsia="Times New Roman" w:hAnsi="Calibri"/>
                <w:sz w:val="28"/>
                <w:szCs w:val="28"/>
              </w:rPr>
              <w:t xml:space="preserve"> </w:t>
            </w:r>
            <w:r w:rsidR="0044461A">
              <w:rPr>
                <w:rFonts w:ascii="Calibri" w:eastAsia="Times New Roman" w:hAnsi="Calibri"/>
                <w:sz w:val="28"/>
                <w:szCs w:val="28"/>
              </w:rPr>
              <w:t xml:space="preserve">                   </w:t>
            </w:r>
            <w:r w:rsidR="0044461A" w:rsidRPr="0044461A">
              <w:rPr>
                <w:rFonts w:ascii="Calibri" w:eastAsia="Times New Roman" w:hAnsi="Calibri"/>
                <w:color w:val="4F6228" w:themeColor="accent3" w:themeShade="80"/>
                <w:sz w:val="28"/>
                <w:szCs w:val="28"/>
              </w:rPr>
              <w:t>1</w:t>
            </w:r>
            <w:r w:rsidR="0044461A" w:rsidRPr="0044461A">
              <w:rPr>
                <w:rFonts w:ascii="Calibri" w:eastAsia="Times New Roman" w:hAnsi="Calibri"/>
                <w:color w:val="4F6228" w:themeColor="accent3" w:themeShade="80"/>
                <w:sz w:val="28"/>
                <w:szCs w:val="28"/>
                <w:vertAlign w:val="superscript"/>
              </w:rPr>
              <w:t>st</w:t>
            </w:r>
            <w:r w:rsidR="0044461A" w:rsidRPr="0044461A">
              <w:rPr>
                <w:rFonts w:ascii="Calibri" w:eastAsia="Times New Roman" w:hAnsi="Calibri"/>
                <w:color w:val="4F6228" w:themeColor="accent3" w:themeShade="80"/>
                <w:sz w:val="28"/>
                <w:szCs w:val="28"/>
              </w:rPr>
              <w:t xml:space="preserve"> February 2024</w:t>
            </w:r>
          </w:p>
          <w:p w14:paraId="34CCE091" w14:textId="5C8548D6" w:rsidR="007D0DCD" w:rsidRPr="00B54DF7" w:rsidRDefault="007D0DCD" w:rsidP="00DE372B">
            <w:pPr>
              <w:jc w:val="left"/>
              <w:rPr>
                <w:rFonts w:ascii="Calibri" w:eastAsia="Times New Roman" w:hAnsi="Calibri"/>
                <w:i/>
                <w:iCs/>
                <w:sz w:val="28"/>
                <w:szCs w:val="28"/>
              </w:rPr>
            </w:pPr>
          </w:p>
        </w:tc>
      </w:tr>
      <w:tr w:rsidR="007D0DCD" w:rsidRPr="007D0DCD" w14:paraId="437452AA" w14:textId="77777777" w:rsidTr="00AD33B1">
        <w:tc>
          <w:tcPr>
            <w:tcW w:w="0" w:type="auto"/>
          </w:tcPr>
          <w:p w14:paraId="6D071317" w14:textId="77777777" w:rsidR="007D0DCD" w:rsidRPr="007D0DCD" w:rsidRDefault="007D0DCD" w:rsidP="007D0DCD">
            <w:pPr>
              <w:rPr>
                <w:rFonts w:ascii="Calibri" w:eastAsia="Times New Roman" w:hAnsi="Calibri"/>
                <w:sz w:val="28"/>
                <w:szCs w:val="28"/>
              </w:rPr>
            </w:pPr>
          </w:p>
        </w:tc>
      </w:tr>
    </w:tbl>
    <w:p w14:paraId="60942098" w14:textId="77777777" w:rsidR="007D0DCD" w:rsidRPr="007D0DCD" w:rsidRDefault="00D91C06" w:rsidP="007D0DCD">
      <w:pPr>
        <w:ind w:left="-540" w:hanging="360"/>
        <w:rPr>
          <w:rFonts w:ascii="Calibri" w:eastAsia="Times New Roman" w:hAnsi="Calibri"/>
          <w:szCs w:val="20"/>
          <w:lang w:eastAsia="en-GB"/>
        </w:rPr>
      </w:pPr>
      <w:r>
        <w:rPr>
          <w:rFonts w:ascii="Calibri" w:eastAsia="Times New Roman" w:hAnsi="Calibri"/>
          <w:noProof/>
          <w:szCs w:val="20"/>
          <w:lang w:eastAsia="en-GB"/>
        </w:rPr>
        <w:drawing>
          <wp:inline distT="0" distB="0" distL="0" distR="0" wp14:anchorId="07552D2E" wp14:editId="69B2E86B">
            <wp:extent cx="3543300" cy="2828925"/>
            <wp:effectExtent l="0" t="0" r="0" b="9525"/>
            <wp:docPr id="4" name="Picture 4" descr="stacked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828925"/>
                    </a:xfrm>
                    <a:prstGeom prst="rect">
                      <a:avLst/>
                    </a:prstGeom>
                    <a:noFill/>
                    <a:ln>
                      <a:noFill/>
                    </a:ln>
                  </pic:spPr>
                </pic:pic>
              </a:graphicData>
            </a:graphic>
          </wp:inline>
        </w:drawing>
      </w:r>
    </w:p>
    <w:p w14:paraId="2DB34315"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51214AA1"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0538DFB4" w14:textId="77777777" w:rsidR="007D0DCD" w:rsidRPr="007D0DCD" w:rsidRDefault="007D0DCD" w:rsidP="007D0DCD">
      <w:pPr>
        <w:tabs>
          <w:tab w:val="left" w:pos="3094"/>
          <w:tab w:val="center" w:pos="4153"/>
          <w:tab w:val="right" w:pos="8306"/>
        </w:tabs>
        <w:rPr>
          <w:rFonts w:ascii="Calibri" w:eastAsia="Times New Roman" w:hAnsi="Calibri" w:cs="Tahoma"/>
          <w:szCs w:val="20"/>
          <w:lang w:eastAsia="en-GB"/>
        </w:rPr>
      </w:pPr>
    </w:p>
    <w:p w14:paraId="71EAAE5D" w14:textId="77777777" w:rsidR="007D0DCD" w:rsidRPr="007D0DCD" w:rsidRDefault="007D0DCD" w:rsidP="007D0DCD">
      <w:pPr>
        <w:rPr>
          <w:rFonts w:ascii="Calibri" w:eastAsia="Times New Roman" w:hAnsi="Calibri"/>
          <w:b/>
          <w:szCs w:val="20"/>
          <w:u w:val="single"/>
          <w:lang w:eastAsia="en-GB"/>
        </w:rPr>
      </w:pPr>
    </w:p>
    <w:p w14:paraId="53302BE8" w14:textId="77777777" w:rsidR="007D0DCD" w:rsidRPr="007D0DCD" w:rsidRDefault="007D0DCD" w:rsidP="007D0DCD">
      <w:pPr>
        <w:rPr>
          <w:rFonts w:ascii="Calibri" w:eastAsia="Times New Roman" w:hAnsi="Calibri"/>
          <w:b/>
          <w:szCs w:val="20"/>
          <w:u w:val="single"/>
          <w:lang w:eastAsia="en-GB"/>
        </w:rPr>
      </w:pPr>
    </w:p>
    <w:p w14:paraId="7A114283" w14:textId="77777777" w:rsidR="007D0DCD" w:rsidRPr="007D0DCD" w:rsidRDefault="007D0DCD" w:rsidP="007D0DCD">
      <w:pPr>
        <w:rPr>
          <w:rFonts w:ascii="Calibri" w:eastAsia="Times New Roman" w:hAnsi="Calibri"/>
          <w:b/>
          <w:szCs w:val="20"/>
          <w:u w:val="single"/>
          <w:lang w:eastAsia="en-GB"/>
        </w:rPr>
      </w:pPr>
    </w:p>
    <w:p w14:paraId="033196A0" w14:textId="77777777" w:rsidR="007D0DCD" w:rsidRPr="007D0DCD" w:rsidRDefault="007D0DCD" w:rsidP="007D0DCD">
      <w:pPr>
        <w:rPr>
          <w:rFonts w:ascii="Calibri" w:eastAsia="Times New Roman" w:hAnsi="Calibri"/>
          <w:b/>
          <w:szCs w:val="20"/>
          <w:u w:val="single"/>
          <w:lang w:eastAsia="en-GB"/>
        </w:rPr>
      </w:pPr>
    </w:p>
    <w:p w14:paraId="206C357E" w14:textId="77777777" w:rsidR="007D0DCD" w:rsidRPr="007D0DCD" w:rsidRDefault="007D0DCD" w:rsidP="007D0DCD">
      <w:pPr>
        <w:rPr>
          <w:rFonts w:ascii="Calibri" w:eastAsia="Times New Roman" w:hAnsi="Calibri"/>
          <w:b/>
          <w:szCs w:val="20"/>
          <w:u w:val="single"/>
          <w:lang w:eastAsia="en-GB"/>
        </w:rPr>
      </w:pPr>
    </w:p>
    <w:p w14:paraId="724CF38C" w14:textId="77777777" w:rsidR="007D0DCD" w:rsidRPr="007D0DCD" w:rsidRDefault="007D0DCD" w:rsidP="007D0DCD">
      <w:pPr>
        <w:rPr>
          <w:rFonts w:ascii="Calibri" w:eastAsia="Times New Roman" w:hAnsi="Calibri"/>
          <w:b/>
          <w:szCs w:val="20"/>
          <w:u w:val="single"/>
          <w:lang w:eastAsia="en-GB"/>
        </w:rPr>
      </w:pPr>
    </w:p>
    <w:p w14:paraId="0D282B5D" w14:textId="77777777" w:rsidR="007D0DCD" w:rsidRPr="007D0DCD" w:rsidRDefault="007D0DCD" w:rsidP="007D0DCD">
      <w:pPr>
        <w:rPr>
          <w:rFonts w:ascii="Calibri" w:eastAsia="Times New Roman" w:hAnsi="Calibri"/>
          <w:b/>
          <w:szCs w:val="20"/>
          <w:u w:val="single"/>
          <w:lang w:eastAsia="en-GB"/>
        </w:rPr>
      </w:pPr>
    </w:p>
    <w:p w14:paraId="591438AB" w14:textId="77777777" w:rsidR="007D0DCD" w:rsidRPr="007D0DCD" w:rsidRDefault="007D0DCD" w:rsidP="007D0DCD">
      <w:pPr>
        <w:rPr>
          <w:rFonts w:ascii="Calibri" w:eastAsia="Times New Roman" w:hAnsi="Calibri"/>
          <w:b/>
          <w:szCs w:val="20"/>
          <w:u w:val="single"/>
          <w:lang w:eastAsia="en-GB"/>
        </w:rPr>
      </w:pPr>
    </w:p>
    <w:p w14:paraId="77CEE690" w14:textId="77777777" w:rsidR="007D0DCD" w:rsidRPr="007D0DCD" w:rsidRDefault="007D0DCD" w:rsidP="007D0DCD">
      <w:pPr>
        <w:rPr>
          <w:rFonts w:ascii="Calibri" w:eastAsia="Times New Roman" w:hAnsi="Calibri"/>
          <w:b/>
          <w:szCs w:val="20"/>
          <w:u w:val="single"/>
          <w:lang w:eastAsia="en-GB"/>
        </w:rPr>
      </w:pPr>
    </w:p>
    <w:p w14:paraId="57701879" w14:textId="77777777" w:rsidR="007D0DCD" w:rsidRPr="007D0DCD" w:rsidRDefault="007D0DCD" w:rsidP="007D0DCD">
      <w:pPr>
        <w:rPr>
          <w:rFonts w:ascii="Calibri" w:eastAsia="Times New Roman" w:hAnsi="Calibri"/>
          <w:b/>
          <w:szCs w:val="20"/>
          <w:u w:val="single"/>
          <w:lang w:eastAsia="en-GB"/>
        </w:rPr>
      </w:pPr>
    </w:p>
    <w:p w14:paraId="0267C509" w14:textId="77777777" w:rsidR="007D0DCD" w:rsidRPr="007D0DCD" w:rsidRDefault="007D0DCD" w:rsidP="007D0DCD">
      <w:pPr>
        <w:rPr>
          <w:rFonts w:ascii="Calibri" w:eastAsia="Times New Roman" w:hAnsi="Calibri"/>
          <w:b/>
          <w:szCs w:val="20"/>
          <w:u w:val="single"/>
          <w:lang w:eastAsia="en-GB"/>
        </w:rPr>
      </w:pPr>
    </w:p>
    <w:p w14:paraId="61FE8D09" w14:textId="0749C2E1" w:rsidR="007D0DCD" w:rsidRPr="007D0DCD" w:rsidRDefault="0044461A" w:rsidP="0044461A">
      <w:pPr>
        <w:jc w:val="right"/>
        <w:rPr>
          <w:rFonts w:ascii="Calibri" w:eastAsia="Times New Roman" w:hAnsi="Calibri"/>
          <w:b/>
          <w:szCs w:val="20"/>
          <w:u w:val="single"/>
          <w:lang w:eastAsia="en-GB"/>
        </w:rPr>
      </w:pPr>
      <w:r>
        <w:rPr>
          <w:rFonts w:ascii="Calibri" w:eastAsia="Times New Roman" w:hAnsi="Calibri"/>
          <w:b/>
          <w:noProof/>
          <w:szCs w:val="20"/>
          <w:u w:val="single"/>
          <w:lang w:eastAsia="en-GB"/>
        </w:rPr>
        <w:drawing>
          <wp:inline distT="0" distB="0" distL="0" distR="0" wp14:anchorId="33C5E13E" wp14:editId="64697A04">
            <wp:extent cx="1866900" cy="1866900"/>
            <wp:effectExtent l="0" t="0" r="0" b="0"/>
            <wp:docPr id="1850985671" name="Picture 2" descr="A green leaf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985671" name="Picture 2" descr="A green leaf in a circle&#10;&#10;Description automatically generated"/>
                    <pic:cNvPicPr/>
                  </pic:nvPicPr>
                  <pic:blipFill>
                    <a:blip r:embed="rId12"/>
                    <a:stretch>
                      <a:fillRect/>
                    </a:stretch>
                  </pic:blipFill>
                  <pic:spPr>
                    <a:xfrm>
                      <a:off x="0" y="0"/>
                      <a:ext cx="1869707" cy="1869707"/>
                    </a:xfrm>
                    <a:prstGeom prst="rect">
                      <a:avLst/>
                    </a:prstGeom>
                  </pic:spPr>
                </pic:pic>
              </a:graphicData>
            </a:graphic>
          </wp:inline>
        </w:drawing>
      </w:r>
    </w:p>
    <w:p w14:paraId="7D7576E6" w14:textId="77777777" w:rsidR="007D0DCD" w:rsidRPr="007D0DCD" w:rsidRDefault="007D0DCD" w:rsidP="007D0DCD">
      <w:pPr>
        <w:rPr>
          <w:rFonts w:ascii="Calibri" w:eastAsia="Times New Roman" w:hAnsi="Calibri"/>
          <w:b/>
          <w:szCs w:val="20"/>
          <w:u w:val="single"/>
          <w:lang w:eastAsia="en-GB"/>
        </w:rPr>
      </w:pPr>
    </w:p>
    <w:p w14:paraId="1E5F443A" w14:textId="77777777" w:rsidR="007D0DCD" w:rsidRPr="007D0DCD" w:rsidRDefault="007D0DCD" w:rsidP="007D0DCD">
      <w:pPr>
        <w:rPr>
          <w:rFonts w:ascii="Calibri" w:eastAsia="Times New Roman" w:hAnsi="Calibri"/>
          <w:b/>
          <w:szCs w:val="20"/>
          <w:u w:val="single"/>
          <w:lang w:eastAsia="en-GB"/>
        </w:rPr>
      </w:pPr>
    </w:p>
    <w:p w14:paraId="47C9237C" w14:textId="77777777" w:rsidR="007D0DCD" w:rsidRPr="007D0DCD" w:rsidRDefault="007D0DCD" w:rsidP="007D0DCD">
      <w:pPr>
        <w:rPr>
          <w:rFonts w:ascii="Calibri" w:eastAsia="Times New Roman" w:hAnsi="Calibri"/>
          <w:b/>
          <w:szCs w:val="20"/>
          <w:u w:val="single"/>
          <w:lang w:eastAsia="en-GB"/>
        </w:rPr>
      </w:pPr>
    </w:p>
    <w:p w14:paraId="0A6331A7" w14:textId="77777777" w:rsidR="007D0DCD" w:rsidRPr="007D0DCD" w:rsidRDefault="007D0DCD" w:rsidP="007D0DCD">
      <w:pPr>
        <w:rPr>
          <w:rFonts w:ascii="Calibri" w:eastAsia="Times New Roman" w:hAnsi="Calibri"/>
          <w:b/>
          <w:szCs w:val="20"/>
          <w:u w:val="single"/>
          <w:lang w:eastAsia="en-GB"/>
        </w:rPr>
      </w:pPr>
    </w:p>
    <w:p w14:paraId="1A7492D6" w14:textId="77777777" w:rsidR="007D0DCD" w:rsidRPr="007D0DCD" w:rsidRDefault="007D0DCD" w:rsidP="007D0DCD">
      <w:pPr>
        <w:rPr>
          <w:rFonts w:ascii="Calibri" w:eastAsia="Times New Roman" w:hAnsi="Calibri"/>
          <w:b/>
          <w:szCs w:val="20"/>
          <w:u w:val="single"/>
          <w:lang w:eastAsia="en-GB"/>
        </w:rPr>
        <w:sectPr w:rsidR="007D0DCD" w:rsidRPr="007D0DCD">
          <w:pgSz w:w="11906" w:h="16838"/>
          <w:pgMar w:top="1440" w:right="1800" w:bottom="1440" w:left="1800" w:header="708" w:footer="708" w:gutter="0"/>
          <w:cols w:space="708"/>
          <w:docGrid w:linePitch="360"/>
        </w:sectPr>
      </w:pPr>
    </w:p>
    <w:p w14:paraId="0531D3F1" w14:textId="70A596A2" w:rsidR="007D0DCD" w:rsidRPr="00DE372B" w:rsidRDefault="007D0DCD" w:rsidP="007D0DCD">
      <w:pPr>
        <w:rPr>
          <w:rFonts w:ascii="Calibri" w:eastAsia="Times New Roman" w:hAnsi="Calibri"/>
          <w:b/>
          <w:i/>
          <w:iCs/>
          <w:color w:val="FF0000"/>
          <w:sz w:val="28"/>
          <w:szCs w:val="20"/>
          <w:lang w:eastAsia="en-GB"/>
        </w:rPr>
      </w:pPr>
      <w:r w:rsidRPr="00FA430B">
        <w:rPr>
          <w:rFonts w:ascii="Calibri" w:eastAsia="Times New Roman" w:hAnsi="Calibri"/>
          <w:b/>
          <w:color w:val="7AC142"/>
          <w:sz w:val="28"/>
          <w:szCs w:val="20"/>
          <w:lang w:eastAsia="en-GB"/>
        </w:rPr>
        <w:lastRenderedPageBreak/>
        <w:t>TABLE OF CONTENTS</w:t>
      </w:r>
      <w:r w:rsidR="00DE372B">
        <w:rPr>
          <w:rFonts w:ascii="Calibri" w:eastAsia="Times New Roman" w:hAnsi="Calibri"/>
          <w:b/>
          <w:color w:val="7AC142"/>
          <w:sz w:val="28"/>
          <w:szCs w:val="20"/>
          <w:lang w:eastAsia="en-GB"/>
        </w:rPr>
        <w:t xml:space="preserve"> </w:t>
      </w:r>
    </w:p>
    <w:p w14:paraId="639C80DE" w14:textId="77777777" w:rsidR="007D0DCD" w:rsidRPr="00DE372B" w:rsidRDefault="007D0DCD" w:rsidP="007D0DCD">
      <w:pPr>
        <w:rPr>
          <w:rFonts w:ascii="Calibri" w:eastAsia="Times New Roman" w:hAnsi="Calibri"/>
          <w:b/>
          <w:color w:val="FF0000"/>
          <w:szCs w:val="20"/>
          <w:u w:val="single"/>
          <w:lang w:eastAsia="en-GB"/>
        </w:rPr>
      </w:pPr>
    </w:p>
    <w:p w14:paraId="02947CD9" w14:textId="6200429D" w:rsidR="007B06DD" w:rsidRDefault="00D966BD">
      <w:pPr>
        <w:pStyle w:val="TOC1"/>
        <w:rPr>
          <w:rFonts w:asciiTheme="minorHAnsi" w:eastAsiaTheme="minorEastAsia" w:hAnsiTheme="minorHAnsi" w:cstheme="minorBidi"/>
          <w:b w:val="0"/>
          <w:caps w:val="0"/>
          <w:sz w:val="22"/>
          <w:szCs w:val="22"/>
          <w:lang w:eastAsia="en-GB"/>
        </w:rPr>
      </w:pPr>
      <w:r>
        <w:rPr>
          <w:rFonts w:eastAsia="Times New Roman" w:cs="Arial"/>
          <w:szCs w:val="20"/>
        </w:rPr>
        <w:fldChar w:fldCharType="begin"/>
      </w:r>
      <w:r>
        <w:rPr>
          <w:rFonts w:eastAsia="Times New Roman" w:cs="Arial"/>
          <w:szCs w:val="20"/>
        </w:rPr>
        <w:instrText xml:space="preserve"> TOC \o "1-1" \t "Heading2,2" </w:instrText>
      </w:r>
      <w:r>
        <w:rPr>
          <w:rFonts w:eastAsia="Times New Roman" w:cs="Arial"/>
          <w:szCs w:val="20"/>
        </w:rPr>
        <w:fldChar w:fldCharType="separate"/>
      </w:r>
      <w:r w:rsidR="007B06DD">
        <w:t>INTRODUCTION</w:t>
      </w:r>
      <w:r w:rsidR="007B06DD">
        <w:tab/>
      </w:r>
      <w:r w:rsidR="007B06DD">
        <w:fldChar w:fldCharType="begin"/>
      </w:r>
      <w:r w:rsidR="007B06DD">
        <w:instrText xml:space="preserve"> PAGEREF _Toc116910368 \h </w:instrText>
      </w:r>
      <w:r w:rsidR="007B06DD">
        <w:fldChar w:fldCharType="separate"/>
      </w:r>
      <w:r w:rsidR="00E958F6">
        <w:t>1</w:t>
      </w:r>
      <w:r w:rsidR="007B06DD">
        <w:fldChar w:fldCharType="end"/>
      </w:r>
    </w:p>
    <w:p w14:paraId="158646C9" w14:textId="3F1A2EF8" w:rsidR="007B06DD" w:rsidRDefault="007B06DD">
      <w:pPr>
        <w:pStyle w:val="TOC1"/>
        <w:rPr>
          <w:rFonts w:asciiTheme="minorHAnsi" w:eastAsiaTheme="minorEastAsia" w:hAnsiTheme="minorHAnsi" w:cstheme="minorBidi"/>
          <w:b w:val="0"/>
          <w:caps w:val="0"/>
          <w:sz w:val="22"/>
          <w:szCs w:val="22"/>
          <w:lang w:eastAsia="en-GB"/>
        </w:rPr>
      </w:pPr>
      <w:r>
        <w:t>scope</w:t>
      </w:r>
      <w:r>
        <w:tab/>
      </w:r>
      <w:r>
        <w:fldChar w:fldCharType="begin"/>
      </w:r>
      <w:r>
        <w:instrText xml:space="preserve"> PAGEREF _Toc116910369 \h </w:instrText>
      </w:r>
      <w:r>
        <w:fldChar w:fldCharType="separate"/>
      </w:r>
      <w:r w:rsidR="00E958F6">
        <w:t>1</w:t>
      </w:r>
      <w:r>
        <w:fldChar w:fldCharType="end"/>
      </w:r>
    </w:p>
    <w:p w14:paraId="5B56381B" w14:textId="17F8869B"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LEGAL &amp; REGULATORY REQUIREMENTS</w:t>
      </w:r>
      <w:r>
        <w:tab/>
      </w:r>
      <w:r w:rsidR="006002E2">
        <w:t>1</w:t>
      </w:r>
    </w:p>
    <w:p w14:paraId="15B33F4D" w14:textId="04791435"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definitions</w:t>
      </w:r>
      <w:r>
        <w:tab/>
      </w:r>
      <w:r w:rsidR="006002E2">
        <w:t>2</w:t>
      </w:r>
    </w:p>
    <w:p w14:paraId="18901822" w14:textId="55311B77"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OUR POLICY</w:t>
      </w:r>
      <w:r>
        <w:tab/>
      </w:r>
      <w:r w:rsidR="006002E2">
        <w:t>2</w:t>
      </w:r>
    </w:p>
    <w:p w14:paraId="6AFA9BCD" w14:textId="4FD6E5BE"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EQUALITY, DIVERSITY &amp; INCLUSION</w:t>
      </w:r>
      <w:r>
        <w:tab/>
      </w:r>
      <w:r w:rsidR="006002E2">
        <w:t>4</w:t>
      </w:r>
    </w:p>
    <w:p w14:paraId="2B38044E" w14:textId="4B671B22" w:rsidR="007B06DD" w:rsidRDefault="007B06DD">
      <w:pPr>
        <w:pStyle w:val="TOC1"/>
        <w:rPr>
          <w:rFonts w:asciiTheme="minorHAnsi" w:eastAsiaTheme="minorEastAsia" w:hAnsiTheme="minorHAnsi" w:cstheme="minorBidi"/>
          <w:b w:val="0"/>
          <w:caps w:val="0"/>
          <w:sz w:val="22"/>
          <w:szCs w:val="22"/>
          <w:lang w:eastAsia="en-GB"/>
        </w:rPr>
      </w:pPr>
      <w:r>
        <w:t>RESPONSIBILITIES</w:t>
      </w:r>
      <w:r>
        <w:tab/>
      </w:r>
      <w:r w:rsidR="006002E2">
        <w:t>4</w:t>
      </w:r>
    </w:p>
    <w:p w14:paraId="1F09EF7E" w14:textId="10F2AE4B"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MONITORING AND REPORTING</w:t>
      </w:r>
      <w:r>
        <w:tab/>
      </w:r>
      <w:r w:rsidR="006002E2">
        <w:t>4</w:t>
      </w:r>
    </w:p>
    <w:p w14:paraId="5B356F5E" w14:textId="49DA8BA1"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CONSULTATION</w:t>
      </w:r>
      <w:r>
        <w:tab/>
      </w:r>
      <w:r w:rsidR="006002E2">
        <w:t>4</w:t>
      </w:r>
    </w:p>
    <w:p w14:paraId="2BFE44A3" w14:textId="021917D1" w:rsidR="007B06DD" w:rsidRDefault="007B06DD">
      <w:pPr>
        <w:pStyle w:val="TOC1"/>
        <w:rPr>
          <w:rFonts w:asciiTheme="minorHAnsi" w:eastAsiaTheme="minorEastAsia" w:hAnsiTheme="minorHAnsi" w:cstheme="minorBidi"/>
          <w:b w:val="0"/>
          <w:caps w:val="0"/>
          <w:sz w:val="22"/>
          <w:szCs w:val="22"/>
          <w:lang w:eastAsia="en-GB"/>
        </w:rPr>
      </w:pPr>
      <w:r w:rsidRPr="00A63741">
        <w:rPr>
          <w:lang w:val="en-US"/>
        </w:rPr>
        <w:t>REVIEW</w:t>
      </w:r>
      <w:r>
        <w:tab/>
      </w:r>
      <w:r w:rsidR="006002E2">
        <w:t>5</w:t>
      </w:r>
    </w:p>
    <w:p w14:paraId="549BF2BC" w14:textId="5732C4D7" w:rsidR="007B06DD" w:rsidRDefault="007B06DD">
      <w:pPr>
        <w:pStyle w:val="TOC1"/>
        <w:rPr>
          <w:rFonts w:asciiTheme="minorHAnsi" w:eastAsiaTheme="minorEastAsia" w:hAnsiTheme="minorHAnsi" w:cstheme="minorBidi"/>
          <w:b w:val="0"/>
          <w:caps w:val="0"/>
          <w:sz w:val="22"/>
          <w:szCs w:val="22"/>
          <w:lang w:eastAsia="en-GB"/>
        </w:rPr>
      </w:pPr>
      <w:r>
        <w:t>ASSOCIATED DOCUMENTS</w:t>
      </w:r>
      <w:r>
        <w:tab/>
      </w:r>
      <w:r w:rsidR="006002E2">
        <w:t>5</w:t>
      </w:r>
    </w:p>
    <w:p w14:paraId="7DBC081C" w14:textId="5CB0F807" w:rsidR="007B06DD" w:rsidRDefault="007B06DD">
      <w:pPr>
        <w:pStyle w:val="TOC1"/>
        <w:rPr>
          <w:rFonts w:asciiTheme="minorHAnsi" w:eastAsiaTheme="minorEastAsia" w:hAnsiTheme="minorHAnsi" w:cstheme="minorBidi"/>
          <w:b w:val="0"/>
          <w:caps w:val="0"/>
          <w:sz w:val="22"/>
          <w:szCs w:val="22"/>
          <w:lang w:eastAsia="en-GB"/>
        </w:rPr>
      </w:pPr>
      <w:r>
        <w:t>POLICY INFORMATION</w:t>
      </w:r>
      <w:r>
        <w:tab/>
      </w:r>
      <w:r w:rsidR="006002E2">
        <w:t>5</w:t>
      </w:r>
    </w:p>
    <w:p w14:paraId="66F914F8" w14:textId="31901701" w:rsidR="000114C6" w:rsidRDefault="00D966BD" w:rsidP="00E3112F">
      <w:pPr>
        <w:pStyle w:val="TOC1"/>
        <w:numPr>
          <w:ilvl w:val="0"/>
          <w:numId w:val="0"/>
        </w:numPr>
        <w:ind w:left="357"/>
      </w:pPr>
      <w:r>
        <w:rPr>
          <w:rFonts w:eastAsia="Times New Roman" w:cs="Arial"/>
          <w:szCs w:val="20"/>
        </w:rPr>
        <w:fldChar w:fldCharType="end"/>
      </w:r>
    </w:p>
    <w:p w14:paraId="7CA65830" w14:textId="77777777" w:rsidR="00E3112F" w:rsidRDefault="00E3112F" w:rsidP="00E3112F"/>
    <w:p w14:paraId="1492316F" w14:textId="77777777" w:rsidR="00E3112F" w:rsidRDefault="00E3112F" w:rsidP="00D966BD">
      <w:pPr>
        <w:pStyle w:val="ListBullet1"/>
        <w:numPr>
          <w:ilvl w:val="0"/>
          <w:numId w:val="0"/>
        </w:numPr>
        <w:ind w:left="714"/>
      </w:pPr>
    </w:p>
    <w:p w14:paraId="477F3CE0" w14:textId="77777777" w:rsidR="00E3112F" w:rsidRDefault="00E3112F" w:rsidP="00E3112F"/>
    <w:p w14:paraId="774F3723" w14:textId="77777777" w:rsidR="00E3112F" w:rsidRDefault="00E3112F" w:rsidP="00E3112F"/>
    <w:p w14:paraId="35032AC8" w14:textId="77777777" w:rsidR="00E3112F" w:rsidRDefault="00E3112F" w:rsidP="00E3112F"/>
    <w:p w14:paraId="558D183E" w14:textId="77777777" w:rsidR="00E3112F" w:rsidRPr="00E3112F" w:rsidRDefault="00E3112F" w:rsidP="00E3112F"/>
    <w:p w14:paraId="20E7D758" w14:textId="77777777" w:rsidR="000114C6" w:rsidRDefault="000114C6" w:rsidP="003C1B99">
      <w:pPr>
        <w:pStyle w:val="TOC1"/>
        <w:sectPr w:rsidR="000114C6" w:rsidSect="005927A0">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134" w:left="1418" w:header="709" w:footer="709" w:gutter="0"/>
          <w:cols w:space="708"/>
          <w:docGrid w:linePitch="360"/>
        </w:sect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16"/>
      </w:tblGrid>
      <w:tr w:rsidR="0093600A" w:rsidRPr="007D0DCD" w14:paraId="3E8B33FB" w14:textId="77777777" w:rsidTr="00B41462">
        <w:trPr>
          <w:trHeight w:hRule="exact" w:val="20"/>
        </w:trPr>
        <w:tc>
          <w:tcPr>
            <w:tcW w:w="817" w:type="dxa"/>
            <w:tcBorders>
              <w:bottom w:val="nil"/>
            </w:tcBorders>
          </w:tcPr>
          <w:p w14:paraId="793D161E" w14:textId="77777777" w:rsidR="0093600A" w:rsidRDefault="0093600A">
            <w:pPr>
              <w:rPr>
                <w:sz w:val="2"/>
              </w:rPr>
            </w:pPr>
            <w:bookmarkStart w:id="0" w:name="_Toc476208625"/>
            <w:bookmarkStart w:id="1" w:name="_d79c87fe_6252_43de_8411_f76d9de68aab"/>
            <w:bookmarkStart w:id="2" w:name="_82638439_f3b7_4d7d_a8a5_41f5daf31a54"/>
            <w:bookmarkStart w:id="3" w:name="_Toc442854524"/>
            <w:bookmarkStart w:id="4" w:name="_Toc476208639"/>
            <w:bookmarkEnd w:id="0"/>
            <w:bookmarkEnd w:id="1"/>
          </w:p>
        </w:tc>
        <w:tc>
          <w:tcPr>
            <w:tcW w:w="8816" w:type="dxa"/>
            <w:tcBorders>
              <w:bottom w:val="nil"/>
            </w:tcBorders>
          </w:tcPr>
          <w:p w14:paraId="37868438" w14:textId="77777777" w:rsidR="0093600A" w:rsidRDefault="0093600A">
            <w:pPr>
              <w:rPr>
                <w:sz w:val="2"/>
              </w:rPr>
            </w:pPr>
          </w:p>
        </w:tc>
      </w:tr>
      <w:tr w:rsidR="0093600A" w:rsidRPr="007D0DCD" w14:paraId="2DFE7376" w14:textId="77777777" w:rsidTr="00B41462">
        <w:tc>
          <w:tcPr>
            <w:tcW w:w="817" w:type="dxa"/>
            <w:tcBorders>
              <w:top w:val="nil"/>
              <w:left w:val="nil"/>
              <w:bottom w:val="nil"/>
              <w:right w:val="nil"/>
            </w:tcBorders>
          </w:tcPr>
          <w:p w14:paraId="7D5603A4" w14:textId="77777777" w:rsidR="0093600A" w:rsidRPr="003C1B99" w:rsidRDefault="0093600A" w:rsidP="0093600A">
            <w:pPr>
              <w:pStyle w:val="ListParagraph"/>
              <w:numPr>
                <w:ilvl w:val="0"/>
                <w:numId w:val="5"/>
              </w:numPr>
            </w:pPr>
          </w:p>
        </w:tc>
        <w:tc>
          <w:tcPr>
            <w:tcW w:w="8816" w:type="dxa"/>
            <w:tcBorders>
              <w:top w:val="nil"/>
              <w:left w:val="nil"/>
              <w:bottom w:val="nil"/>
              <w:right w:val="nil"/>
            </w:tcBorders>
          </w:tcPr>
          <w:p w14:paraId="67D69426" w14:textId="51E9319F" w:rsidR="0093600A" w:rsidRPr="0081585A" w:rsidRDefault="0093600A" w:rsidP="00601BEC">
            <w:pPr>
              <w:pStyle w:val="Heading1"/>
            </w:pPr>
            <w:bookmarkStart w:id="5" w:name="_Toc476208626"/>
            <w:bookmarkStart w:id="6" w:name="_Toc116910368"/>
            <w:r w:rsidRPr="00601BEC">
              <w:t>INTRODUCTION</w:t>
            </w:r>
            <w:bookmarkEnd w:id="5"/>
            <w:bookmarkEnd w:id="6"/>
            <w:r w:rsidR="00247C6B">
              <w:t xml:space="preserve"> </w:t>
            </w:r>
          </w:p>
        </w:tc>
      </w:tr>
      <w:tr w:rsidR="00B41462" w:rsidRPr="007D0DCD" w14:paraId="346E1BFD" w14:textId="77777777" w:rsidTr="00B41462">
        <w:tc>
          <w:tcPr>
            <w:tcW w:w="817" w:type="dxa"/>
            <w:tcBorders>
              <w:top w:val="nil"/>
              <w:left w:val="nil"/>
              <w:bottom w:val="nil"/>
              <w:right w:val="nil"/>
            </w:tcBorders>
          </w:tcPr>
          <w:p w14:paraId="31BBC2DD" w14:textId="77777777" w:rsidR="00B41462" w:rsidRPr="007D0DCD" w:rsidRDefault="00B41462" w:rsidP="0093600A">
            <w:pPr>
              <w:rPr>
                <w:rFonts w:ascii="Calibri" w:eastAsia="Times New Roman" w:hAnsi="Calibri" w:cs="Arial"/>
                <w:szCs w:val="20"/>
                <w:lang w:eastAsia="en-GB"/>
              </w:rPr>
            </w:pPr>
          </w:p>
        </w:tc>
        <w:tc>
          <w:tcPr>
            <w:tcW w:w="8816" w:type="dxa"/>
            <w:tcBorders>
              <w:top w:val="nil"/>
              <w:left w:val="nil"/>
              <w:bottom w:val="nil"/>
              <w:right w:val="nil"/>
            </w:tcBorders>
          </w:tcPr>
          <w:p w14:paraId="0B2F6624" w14:textId="77777777" w:rsidR="00B41462" w:rsidRPr="00A064EB" w:rsidRDefault="00B41462" w:rsidP="00247C6B">
            <w:pPr>
              <w:rPr>
                <w:i/>
                <w:iCs/>
                <w:color w:val="FF0000"/>
                <w:lang w:val="en-US"/>
              </w:rPr>
            </w:pPr>
          </w:p>
        </w:tc>
      </w:tr>
      <w:tr w:rsidR="0093600A" w:rsidRPr="007D0DCD" w14:paraId="77D9890F" w14:textId="77777777" w:rsidTr="00B41462">
        <w:tc>
          <w:tcPr>
            <w:tcW w:w="817" w:type="dxa"/>
            <w:tcBorders>
              <w:top w:val="nil"/>
              <w:left w:val="nil"/>
              <w:bottom w:val="nil"/>
              <w:right w:val="nil"/>
            </w:tcBorders>
          </w:tcPr>
          <w:p w14:paraId="1E70D9CA" w14:textId="77777777" w:rsidR="0093600A" w:rsidRPr="003C1B99" w:rsidRDefault="0093600A" w:rsidP="0093600A">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6A5FCA1C" w14:textId="5796968B" w:rsidR="0093600A" w:rsidRPr="00B2247A" w:rsidRDefault="00B2247A" w:rsidP="00DD6A8A">
            <w:pPr>
              <w:rPr>
                <w:b/>
                <w:bCs/>
                <w:lang w:eastAsia="en-GB"/>
              </w:rPr>
            </w:pPr>
            <w:r w:rsidRPr="00B2247A">
              <w:rPr>
                <w:b/>
                <w:bCs/>
                <w:lang w:eastAsia="en-GB"/>
              </w:rPr>
              <w:t>Purpose</w:t>
            </w:r>
          </w:p>
        </w:tc>
      </w:tr>
      <w:tr w:rsidR="00592FEA" w:rsidRPr="007D0DCD" w14:paraId="436A24C2" w14:textId="77777777" w:rsidTr="00B41462">
        <w:tc>
          <w:tcPr>
            <w:tcW w:w="817" w:type="dxa"/>
            <w:tcBorders>
              <w:top w:val="nil"/>
              <w:left w:val="nil"/>
              <w:bottom w:val="nil"/>
              <w:right w:val="nil"/>
            </w:tcBorders>
          </w:tcPr>
          <w:p w14:paraId="180264E8" w14:textId="77777777" w:rsidR="00592FEA" w:rsidRPr="003C1B99" w:rsidRDefault="00592FEA" w:rsidP="00592FEA">
            <w:pPr>
              <w:pStyle w:val="ListParagraph"/>
              <w:ind w:left="0"/>
              <w:rPr>
                <w:rFonts w:eastAsia="Times New Roman" w:cs="Arial"/>
                <w:b w:val="0"/>
                <w:color w:val="auto"/>
                <w:szCs w:val="20"/>
                <w:lang w:eastAsia="en-GB"/>
              </w:rPr>
            </w:pPr>
          </w:p>
        </w:tc>
        <w:tc>
          <w:tcPr>
            <w:tcW w:w="8816" w:type="dxa"/>
            <w:tcBorders>
              <w:top w:val="nil"/>
              <w:left w:val="nil"/>
              <w:bottom w:val="nil"/>
              <w:right w:val="nil"/>
            </w:tcBorders>
          </w:tcPr>
          <w:p w14:paraId="2EE5DD5E" w14:textId="77777777" w:rsidR="00592FEA" w:rsidRPr="007D0DCD" w:rsidRDefault="00592FEA" w:rsidP="00DD6A8A">
            <w:pPr>
              <w:rPr>
                <w:lang w:eastAsia="en-GB"/>
              </w:rPr>
            </w:pPr>
          </w:p>
        </w:tc>
      </w:tr>
      <w:tr w:rsidR="00B2247A" w:rsidRPr="007D0DCD" w14:paraId="65A7F290" w14:textId="77777777" w:rsidTr="00B41462">
        <w:tc>
          <w:tcPr>
            <w:tcW w:w="817" w:type="dxa"/>
            <w:tcBorders>
              <w:top w:val="nil"/>
              <w:left w:val="nil"/>
              <w:bottom w:val="nil"/>
              <w:right w:val="nil"/>
            </w:tcBorders>
          </w:tcPr>
          <w:p w14:paraId="7DD069CB" w14:textId="77777777" w:rsidR="00B2247A" w:rsidRPr="003C1B99" w:rsidRDefault="00B2247A" w:rsidP="00B2247A">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3F777A9F" w14:textId="1DEBE488" w:rsidR="00B2247A" w:rsidRPr="007D0DCD" w:rsidRDefault="00B2247A" w:rsidP="00B2247A">
            <w:pPr>
              <w:rPr>
                <w:lang w:eastAsia="en-GB"/>
              </w:rPr>
            </w:pPr>
            <w:r w:rsidRPr="00BA5AF4">
              <w:rPr>
                <w:rFonts w:ascii="Calibri" w:hAnsi="Calibri" w:cs="Helvetica"/>
                <w:szCs w:val="23"/>
                <w:lang w:eastAsia="en-GB"/>
              </w:rPr>
              <w:t>The purpose of this policy is to set out the principles and guidelines that Peaks and Plains Housing Trust (the Trust) commit to in terms of setting rent and service charges.</w:t>
            </w:r>
          </w:p>
        </w:tc>
      </w:tr>
      <w:tr w:rsidR="00B12B5E" w:rsidRPr="007D0DCD" w14:paraId="315D7259" w14:textId="77777777" w:rsidTr="00B41462">
        <w:tc>
          <w:tcPr>
            <w:tcW w:w="817" w:type="dxa"/>
            <w:tcBorders>
              <w:top w:val="nil"/>
              <w:left w:val="nil"/>
              <w:bottom w:val="nil"/>
              <w:right w:val="nil"/>
            </w:tcBorders>
          </w:tcPr>
          <w:p w14:paraId="415FABED" w14:textId="77777777" w:rsidR="00B12B5E" w:rsidRPr="003C1B99" w:rsidRDefault="00B12B5E" w:rsidP="00B12B5E">
            <w:pPr>
              <w:pStyle w:val="ListParagraph"/>
              <w:ind w:left="0"/>
              <w:rPr>
                <w:rFonts w:eastAsia="Times New Roman" w:cs="Arial"/>
                <w:b w:val="0"/>
                <w:color w:val="auto"/>
                <w:szCs w:val="20"/>
                <w:lang w:eastAsia="en-GB"/>
              </w:rPr>
            </w:pPr>
          </w:p>
        </w:tc>
        <w:tc>
          <w:tcPr>
            <w:tcW w:w="8816" w:type="dxa"/>
            <w:tcBorders>
              <w:top w:val="nil"/>
              <w:left w:val="nil"/>
              <w:bottom w:val="nil"/>
              <w:right w:val="nil"/>
            </w:tcBorders>
          </w:tcPr>
          <w:p w14:paraId="0E536BDB" w14:textId="77777777" w:rsidR="00B12B5E" w:rsidRPr="00BA5AF4" w:rsidRDefault="00B12B5E" w:rsidP="00B2247A">
            <w:pPr>
              <w:rPr>
                <w:rFonts w:ascii="Calibri" w:hAnsi="Calibri" w:cs="Helvetica"/>
                <w:szCs w:val="23"/>
                <w:lang w:eastAsia="en-GB"/>
              </w:rPr>
            </w:pPr>
          </w:p>
        </w:tc>
      </w:tr>
      <w:tr w:rsidR="00B12B5E" w:rsidRPr="007D0DCD" w14:paraId="71B21877" w14:textId="77777777" w:rsidTr="00B41462">
        <w:tc>
          <w:tcPr>
            <w:tcW w:w="817" w:type="dxa"/>
            <w:tcBorders>
              <w:top w:val="nil"/>
              <w:left w:val="nil"/>
              <w:bottom w:val="nil"/>
              <w:right w:val="nil"/>
            </w:tcBorders>
          </w:tcPr>
          <w:p w14:paraId="18820E82" w14:textId="77777777" w:rsidR="00B12B5E" w:rsidRPr="003C1B99" w:rsidRDefault="00B12B5E" w:rsidP="00B12B5E">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0734886" w14:textId="558D45B3" w:rsidR="00B12B5E" w:rsidRPr="00BA5AF4" w:rsidRDefault="00B12B5E" w:rsidP="00B12B5E">
            <w:pPr>
              <w:rPr>
                <w:rFonts w:ascii="Calibri" w:hAnsi="Calibri" w:cs="Helvetica"/>
                <w:szCs w:val="23"/>
                <w:lang w:eastAsia="en-GB"/>
              </w:rPr>
            </w:pPr>
            <w:r>
              <w:rPr>
                <w:rFonts w:ascii="Calibri" w:eastAsia="Times New Roman" w:hAnsi="Calibri" w:cs="Arial"/>
                <w:szCs w:val="20"/>
                <w:lang w:eastAsia="en-GB"/>
              </w:rPr>
              <w:t xml:space="preserve">This policy should be read in conjunction with the Rent Setting Procedure. </w:t>
            </w:r>
          </w:p>
        </w:tc>
      </w:tr>
      <w:tr w:rsidR="00DF2B78" w:rsidRPr="007D0DCD" w14:paraId="289879DC" w14:textId="77777777" w:rsidTr="00B41462">
        <w:tc>
          <w:tcPr>
            <w:tcW w:w="817" w:type="dxa"/>
            <w:tcBorders>
              <w:top w:val="nil"/>
              <w:left w:val="nil"/>
              <w:bottom w:val="nil"/>
              <w:right w:val="nil"/>
            </w:tcBorders>
          </w:tcPr>
          <w:p w14:paraId="06C839FC" w14:textId="77777777" w:rsidR="00DF2B78" w:rsidRPr="003C1B99" w:rsidRDefault="00DF2B78" w:rsidP="00DF2B78">
            <w:pPr>
              <w:pStyle w:val="ListParagraph"/>
              <w:ind w:left="0"/>
              <w:rPr>
                <w:rFonts w:eastAsia="Times New Roman" w:cs="Arial"/>
                <w:b w:val="0"/>
                <w:color w:val="auto"/>
                <w:szCs w:val="20"/>
                <w:lang w:eastAsia="en-GB"/>
              </w:rPr>
            </w:pPr>
          </w:p>
        </w:tc>
        <w:tc>
          <w:tcPr>
            <w:tcW w:w="8816" w:type="dxa"/>
            <w:tcBorders>
              <w:top w:val="nil"/>
              <w:left w:val="nil"/>
              <w:bottom w:val="nil"/>
              <w:right w:val="nil"/>
            </w:tcBorders>
          </w:tcPr>
          <w:p w14:paraId="4A653B15" w14:textId="77777777" w:rsidR="00DF2B78" w:rsidRDefault="00DF2B78" w:rsidP="00B12B5E">
            <w:pPr>
              <w:rPr>
                <w:rFonts w:ascii="Calibri" w:eastAsia="Times New Roman" w:hAnsi="Calibri" w:cs="Arial"/>
                <w:szCs w:val="20"/>
                <w:lang w:eastAsia="en-GB"/>
              </w:rPr>
            </w:pPr>
          </w:p>
        </w:tc>
      </w:tr>
      <w:tr w:rsidR="00DF2B78" w:rsidRPr="007D0DCD" w14:paraId="5C2B5DA3" w14:textId="77777777" w:rsidTr="00B41462">
        <w:tc>
          <w:tcPr>
            <w:tcW w:w="817" w:type="dxa"/>
            <w:tcBorders>
              <w:top w:val="nil"/>
              <w:left w:val="nil"/>
              <w:bottom w:val="nil"/>
              <w:right w:val="nil"/>
            </w:tcBorders>
          </w:tcPr>
          <w:p w14:paraId="59ACC2D7" w14:textId="77777777" w:rsidR="00DF2B78" w:rsidRPr="003C1B99" w:rsidRDefault="00DF2B78" w:rsidP="00DF2B78">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3BB86B3" w14:textId="3C25B073" w:rsidR="00DF2B78" w:rsidRDefault="00DF2B78" w:rsidP="00DF2B78">
            <w:pPr>
              <w:rPr>
                <w:rFonts w:ascii="Calibri" w:eastAsia="Times New Roman" w:hAnsi="Calibri" w:cs="Arial"/>
                <w:szCs w:val="20"/>
                <w:lang w:eastAsia="en-GB"/>
              </w:rPr>
            </w:pPr>
            <w:r>
              <w:rPr>
                <w:rFonts w:ascii="Calibri" w:eastAsia="Times New Roman" w:hAnsi="Calibri" w:cs="Arial"/>
                <w:szCs w:val="20"/>
                <w:lang w:eastAsia="en-GB"/>
              </w:rPr>
              <w:t xml:space="preserve">In setting rents the Trust will secure rental income to meet its </w:t>
            </w:r>
            <w:r w:rsidR="0060783E">
              <w:rPr>
                <w:rFonts w:ascii="Calibri" w:eastAsia="Times New Roman" w:hAnsi="Calibri" w:cs="Arial"/>
                <w:szCs w:val="20"/>
                <w:lang w:eastAsia="en-GB"/>
              </w:rPr>
              <w:t>B</w:t>
            </w:r>
            <w:r>
              <w:rPr>
                <w:rFonts w:ascii="Calibri" w:eastAsia="Times New Roman" w:hAnsi="Calibri" w:cs="Arial"/>
                <w:szCs w:val="20"/>
                <w:lang w:eastAsia="en-GB"/>
              </w:rPr>
              <w:t xml:space="preserve">usiness </w:t>
            </w:r>
            <w:r w:rsidR="0060783E">
              <w:rPr>
                <w:rFonts w:ascii="Calibri" w:eastAsia="Times New Roman" w:hAnsi="Calibri" w:cs="Arial"/>
                <w:szCs w:val="20"/>
                <w:lang w:eastAsia="en-GB"/>
              </w:rPr>
              <w:t>P</w:t>
            </w:r>
            <w:r>
              <w:rPr>
                <w:rFonts w:ascii="Calibri" w:eastAsia="Times New Roman" w:hAnsi="Calibri" w:cs="Arial"/>
                <w:szCs w:val="20"/>
                <w:lang w:eastAsia="en-GB"/>
              </w:rPr>
              <w:t xml:space="preserve">lan commitments including operating costs, investment/improvement programmes and </w:t>
            </w:r>
            <w:r w:rsidR="0060783E">
              <w:rPr>
                <w:rFonts w:ascii="Calibri" w:eastAsia="Times New Roman" w:hAnsi="Calibri" w:cs="Arial"/>
                <w:szCs w:val="20"/>
                <w:lang w:eastAsia="en-GB"/>
              </w:rPr>
              <w:t xml:space="preserve">to </w:t>
            </w:r>
            <w:r>
              <w:rPr>
                <w:rFonts w:ascii="Calibri" w:eastAsia="Times New Roman" w:hAnsi="Calibri" w:cs="Arial"/>
                <w:szCs w:val="20"/>
                <w:lang w:eastAsia="en-GB"/>
              </w:rPr>
              <w:t>meet the loan repayment requirements of its lenders.</w:t>
            </w:r>
          </w:p>
        </w:tc>
      </w:tr>
      <w:tr w:rsidR="00DF2B78" w:rsidRPr="007D0DCD" w14:paraId="01B15A71" w14:textId="77777777" w:rsidTr="00B41462">
        <w:tc>
          <w:tcPr>
            <w:tcW w:w="817" w:type="dxa"/>
            <w:tcBorders>
              <w:top w:val="nil"/>
              <w:left w:val="nil"/>
              <w:bottom w:val="nil"/>
              <w:right w:val="nil"/>
            </w:tcBorders>
          </w:tcPr>
          <w:p w14:paraId="450BCCCA" w14:textId="77777777" w:rsidR="00DF2B78" w:rsidRPr="007D0DCD" w:rsidRDefault="00DF2B78" w:rsidP="00DF2B78">
            <w:pPr>
              <w:rPr>
                <w:rFonts w:ascii="Calibri" w:eastAsia="Times New Roman" w:hAnsi="Calibri" w:cs="Arial"/>
                <w:szCs w:val="20"/>
                <w:lang w:eastAsia="en-GB"/>
              </w:rPr>
            </w:pPr>
          </w:p>
        </w:tc>
        <w:tc>
          <w:tcPr>
            <w:tcW w:w="8816" w:type="dxa"/>
            <w:tcBorders>
              <w:top w:val="nil"/>
              <w:left w:val="nil"/>
              <w:bottom w:val="nil"/>
              <w:right w:val="nil"/>
            </w:tcBorders>
          </w:tcPr>
          <w:p w14:paraId="70BC4509" w14:textId="77777777" w:rsidR="00DF2B78" w:rsidRPr="007D0DCD" w:rsidRDefault="00DF2B78" w:rsidP="00DF2B78">
            <w:pPr>
              <w:rPr>
                <w:rFonts w:ascii="Calibri" w:eastAsia="Times New Roman" w:hAnsi="Calibri" w:cs="Arial"/>
                <w:szCs w:val="20"/>
                <w:lang w:eastAsia="en-GB"/>
              </w:rPr>
            </w:pPr>
          </w:p>
        </w:tc>
      </w:tr>
      <w:tr w:rsidR="00DF2B78" w:rsidRPr="007D0DCD" w14:paraId="14094D75" w14:textId="77777777" w:rsidTr="00B41462">
        <w:tc>
          <w:tcPr>
            <w:tcW w:w="817" w:type="dxa"/>
            <w:tcBorders>
              <w:top w:val="nil"/>
              <w:left w:val="nil"/>
              <w:bottom w:val="nil"/>
              <w:right w:val="nil"/>
            </w:tcBorders>
          </w:tcPr>
          <w:p w14:paraId="0BE75162" w14:textId="77777777" w:rsidR="00DF2B78" w:rsidRPr="005927A0" w:rsidRDefault="00DF2B78" w:rsidP="00DF2B78">
            <w:pPr>
              <w:pStyle w:val="ListParagraph"/>
              <w:numPr>
                <w:ilvl w:val="0"/>
                <w:numId w:val="5"/>
              </w:numPr>
            </w:pPr>
            <w:bookmarkStart w:id="7" w:name="_Toc476208627"/>
            <w:bookmarkEnd w:id="7"/>
          </w:p>
        </w:tc>
        <w:tc>
          <w:tcPr>
            <w:tcW w:w="8816" w:type="dxa"/>
            <w:tcBorders>
              <w:top w:val="nil"/>
              <w:left w:val="nil"/>
              <w:bottom w:val="nil"/>
              <w:right w:val="nil"/>
            </w:tcBorders>
          </w:tcPr>
          <w:p w14:paraId="4429D626" w14:textId="77777777" w:rsidR="00DF2B78" w:rsidRPr="009D2345" w:rsidRDefault="00DF2B78" w:rsidP="00DF2B78">
            <w:pPr>
              <w:pStyle w:val="Heading1"/>
            </w:pPr>
            <w:bookmarkStart w:id="8" w:name="_Toc116910369"/>
            <w:r>
              <w:t>scope</w:t>
            </w:r>
            <w:bookmarkEnd w:id="8"/>
          </w:p>
        </w:tc>
      </w:tr>
      <w:tr w:rsidR="00DF2B78" w:rsidRPr="007D0DCD" w14:paraId="7F96447A" w14:textId="77777777" w:rsidTr="00B41462">
        <w:tc>
          <w:tcPr>
            <w:tcW w:w="817" w:type="dxa"/>
            <w:tcBorders>
              <w:top w:val="nil"/>
              <w:left w:val="nil"/>
              <w:bottom w:val="nil"/>
              <w:right w:val="nil"/>
            </w:tcBorders>
          </w:tcPr>
          <w:p w14:paraId="14574C02" w14:textId="77777777" w:rsidR="00DF2B78" w:rsidRPr="00EF55CC" w:rsidRDefault="00DF2B78" w:rsidP="00DF2B78">
            <w:pPr>
              <w:rPr>
                <w:lang w:eastAsia="en-GB"/>
              </w:rPr>
            </w:pPr>
          </w:p>
        </w:tc>
        <w:tc>
          <w:tcPr>
            <w:tcW w:w="8816" w:type="dxa"/>
            <w:tcBorders>
              <w:top w:val="nil"/>
              <w:left w:val="nil"/>
              <w:bottom w:val="nil"/>
              <w:right w:val="nil"/>
            </w:tcBorders>
          </w:tcPr>
          <w:p w14:paraId="740BB11B" w14:textId="77777777" w:rsidR="00DF2B78" w:rsidRPr="00BA26F4" w:rsidRDefault="00DF2B78" w:rsidP="00DF2B78">
            <w:pPr>
              <w:rPr>
                <w:i/>
                <w:iCs/>
                <w:color w:val="A6A6A6" w:themeColor="background1" w:themeShade="A6"/>
                <w:lang w:val="en-US"/>
              </w:rPr>
            </w:pPr>
          </w:p>
        </w:tc>
      </w:tr>
      <w:tr w:rsidR="00DF2B78" w:rsidRPr="007D0DCD" w14:paraId="2956186D" w14:textId="77777777" w:rsidTr="00B41462">
        <w:tc>
          <w:tcPr>
            <w:tcW w:w="817" w:type="dxa"/>
            <w:tcBorders>
              <w:top w:val="nil"/>
              <w:left w:val="nil"/>
              <w:bottom w:val="nil"/>
              <w:right w:val="nil"/>
            </w:tcBorders>
          </w:tcPr>
          <w:p w14:paraId="37A5003B" w14:textId="77777777" w:rsidR="00DF2B78" w:rsidRPr="003C1B99" w:rsidRDefault="00DF2B78" w:rsidP="00DF2B78">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5006A0DD" w14:textId="16CEB979" w:rsidR="00DF2B78" w:rsidRPr="007D0DCD" w:rsidRDefault="00DF2B78" w:rsidP="00DF2B78">
            <w:pPr>
              <w:rPr>
                <w:rFonts w:ascii="Calibri" w:eastAsia="Times New Roman" w:hAnsi="Calibri" w:cs="Arial"/>
                <w:szCs w:val="20"/>
                <w:lang w:eastAsia="en-GB"/>
              </w:rPr>
            </w:pPr>
            <w:r>
              <w:t>Where applicable</w:t>
            </w:r>
            <w:r w:rsidRPr="00DC668B">
              <w:t xml:space="preserve"> the Trust</w:t>
            </w:r>
            <w:r>
              <w:t xml:space="preserve"> will ensure rents are set in line with formulae developed by Government for the social housing sector and approved by the Regulator for Social Housing (RSH), within the Rent Standard of the Regulatory Framework.</w:t>
            </w:r>
          </w:p>
        </w:tc>
      </w:tr>
      <w:tr w:rsidR="00DF2B78" w:rsidRPr="007D0DCD" w14:paraId="5745F509" w14:textId="77777777" w:rsidTr="00B41462">
        <w:tc>
          <w:tcPr>
            <w:tcW w:w="817" w:type="dxa"/>
            <w:tcBorders>
              <w:top w:val="nil"/>
              <w:left w:val="nil"/>
              <w:bottom w:val="nil"/>
              <w:right w:val="nil"/>
            </w:tcBorders>
          </w:tcPr>
          <w:p w14:paraId="66F3D4C7" w14:textId="77777777" w:rsidR="00DF2B78" w:rsidRPr="007D0DCD" w:rsidRDefault="00DF2B78" w:rsidP="00DF2B78">
            <w:pPr>
              <w:rPr>
                <w:rFonts w:ascii="Calibri" w:eastAsia="Times New Roman" w:hAnsi="Calibri" w:cs="Arial"/>
                <w:szCs w:val="20"/>
                <w:lang w:eastAsia="en-GB"/>
              </w:rPr>
            </w:pPr>
          </w:p>
        </w:tc>
        <w:tc>
          <w:tcPr>
            <w:tcW w:w="8816" w:type="dxa"/>
            <w:tcBorders>
              <w:top w:val="nil"/>
              <w:left w:val="nil"/>
              <w:bottom w:val="nil"/>
              <w:right w:val="nil"/>
            </w:tcBorders>
          </w:tcPr>
          <w:p w14:paraId="3336C590" w14:textId="77777777" w:rsidR="00DF2B78" w:rsidRPr="007D0DCD" w:rsidRDefault="00DF2B78" w:rsidP="00DF2B78">
            <w:pPr>
              <w:rPr>
                <w:rFonts w:ascii="Calibri" w:eastAsia="Times New Roman" w:hAnsi="Calibri" w:cs="Arial"/>
                <w:szCs w:val="20"/>
                <w:lang w:eastAsia="en-GB"/>
              </w:rPr>
            </w:pPr>
          </w:p>
        </w:tc>
      </w:tr>
      <w:tr w:rsidR="00DF2B78" w:rsidRPr="007D0DCD" w14:paraId="67B184D1" w14:textId="77777777" w:rsidTr="00B41462">
        <w:tc>
          <w:tcPr>
            <w:tcW w:w="817" w:type="dxa"/>
            <w:tcBorders>
              <w:top w:val="nil"/>
              <w:left w:val="nil"/>
              <w:bottom w:val="nil"/>
              <w:right w:val="nil"/>
            </w:tcBorders>
          </w:tcPr>
          <w:p w14:paraId="1817F06C" w14:textId="77777777" w:rsidR="00DF2B78" w:rsidRPr="003C1B99" w:rsidRDefault="00DF2B78" w:rsidP="00DF2B78">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96F237E" w14:textId="4F63D526" w:rsidR="00DF2B78" w:rsidRPr="007D0DCD" w:rsidRDefault="00DF2B78" w:rsidP="00DF2B78">
            <w:pPr>
              <w:rPr>
                <w:rFonts w:ascii="Calibri" w:eastAsia="Times New Roman" w:hAnsi="Calibri" w:cs="Arial"/>
                <w:szCs w:val="20"/>
                <w:lang w:eastAsia="en-GB"/>
              </w:rPr>
            </w:pPr>
            <w:r>
              <w:t>The Trust will also set rents in accordance with the most up-to-date guidance produced by the Ministry of Housing, Communities and Local Government (Capital Funding Guide) where this applies to properties let through one of the Homes England affordable homes programmes.</w:t>
            </w:r>
          </w:p>
        </w:tc>
      </w:tr>
      <w:tr w:rsidR="00DF2B78" w:rsidRPr="007D0DCD" w14:paraId="730641F0" w14:textId="77777777" w:rsidTr="00B41462">
        <w:tc>
          <w:tcPr>
            <w:tcW w:w="817" w:type="dxa"/>
            <w:tcBorders>
              <w:top w:val="nil"/>
              <w:left w:val="nil"/>
              <w:bottom w:val="nil"/>
              <w:right w:val="nil"/>
            </w:tcBorders>
          </w:tcPr>
          <w:p w14:paraId="20414348" w14:textId="77777777" w:rsidR="00DF2B78" w:rsidRPr="007D0DCD" w:rsidRDefault="00DF2B78" w:rsidP="00DF2B78">
            <w:pPr>
              <w:rPr>
                <w:rFonts w:ascii="Calibri" w:eastAsia="Times New Roman" w:hAnsi="Calibri" w:cs="Arial"/>
                <w:szCs w:val="20"/>
                <w:lang w:eastAsia="en-GB"/>
              </w:rPr>
            </w:pPr>
          </w:p>
        </w:tc>
        <w:tc>
          <w:tcPr>
            <w:tcW w:w="8816" w:type="dxa"/>
            <w:tcBorders>
              <w:top w:val="nil"/>
              <w:left w:val="nil"/>
              <w:bottom w:val="nil"/>
              <w:right w:val="nil"/>
            </w:tcBorders>
          </w:tcPr>
          <w:p w14:paraId="02BEF694" w14:textId="77777777" w:rsidR="00DF2B78" w:rsidRPr="007D0DCD" w:rsidRDefault="00DF2B78" w:rsidP="00DF2B78">
            <w:pPr>
              <w:rPr>
                <w:rFonts w:ascii="Calibri" w:eastAsia="Times New Roman" w:hAnsi="Calibri" w:cs="Arial"/>
                <w:szCs w:val="20"/>
                <w:lang w:eastAsia="en-GB"/>
              </w:rPr>
            </w:pPr>
          </w:p>
        </w:tc>
      </w:tr>
      <w:tr w:rsidR="00246C45" w:rsidRPr="007D0DCD" w14:paraId="269D0666" w14:textId="5CF37CF1" w:rsidTr="00B41462">
        <w:tc>
          <w:tcPr>
            <w:tcW w:w="817" w:type="dxa"/>
            <w:tcBorders>
              <w:top w:val="nil"/>
              <w:left w:val="nil"/>
              <w:bottom w:val="nil"/>
              <w:right w:val="nil"/>
            </w:tcBorders>
          </w:tcPr>
          <w:p w14:paraId="3BC91C59" w14:textId="40450005" w:rsidR="00246C45" w:rsidRPr="00BA5AF4"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D516504" w14:textId="6B9B3297" w:rsidR="00246C45" w:rsidRPr="007D0DCD" w:rsidRDefault="00246C45" w:rsidP="00246C45">
            <w:pPr>
              <w:rPr>
                <w:rFonts w:ascii="Calibri" w:eastAsia="Times New Roman" w:hAnsi="Calibri" w:cs="Arial"/>
                <w:szCs w:val="20"/>
                <w:lang w:eastAsia="en-GB"/>
              </w:rPr>
            </w:pPr>
            <w:r>
              <w:rPr>
                <w:rFonts w:ascii="Calibri" w:hAnsi="Calibri"/>
                <w:bCs/>
              </w:rPr>
              <w:t>It should be noted that the setting of service charges for leaseholders are not covered by this policy, please refer to the Leaseholder Management Policy for this information.</w:t>
            </w:r>
            <w:r w:rsidDel="00246C45">
              <w:rPr>
                <w:rFonts w:ascii="Calibri" w:eastAsia="Times New Roman" w:hAnsi="Calibri" w:cs="Arial"/>
                <w:szCs w:val="20"/>
                <w:lang w:eastAsia="en-GB"/>
              </w:rPr>
              <w:t xml:space="preserve"> </w:t>
            </w:r>
          </w:p>
        </w:tc>
      </w:tr>
      <w:tr w:rsidR="00246C45" w:rsidRPr="007D0DCD" w14:paraId="25798850" w14:textId="32B669CC" w:rsidTr="00B41462">
        <w:tc>
          <w:tcPr>
            <w:tcW w:w="817" w:type="dxa"/>
            <w:tcBorders>
              <w:top w:val="nil"/>
              <w:left w:val="nil"/>
              <w:bottom w:val="nil"/>
              <w:right w:val="nil"/>
            </w:tcBorders>
          </w:tcPr>
          <w:p w14:paraId="710B3684" w14:textId="040D068A" w:rsidR="00246C45" w:rsidRPr="00BA5AF4" w:rsidRDefault="00246C45" w:rsidP="00246C45">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56376063" w14:textId="02C09F93" w:rsidR="00246C45" w:rsidRPr="007D0DCD" w:rsidRDefault="00246C45" w:rsidP="00246C45">
            <w:pPr>
              <w:rPr>
                <w:rFonts w:ascii="Calibri" w:eastAsia="Times New Roman" w:hAnsi="Calibri" w:cs="Arial"/>
                <w:szCs w:val="20"/>
                <w:lang w:eastAsia="en-GB"/>
              </w:rPr>
            </w:pPr>
          </w:p>
        </w:tc>
      </w:tr>
      <w:tr w:rsidR="00246C45" w:rsidRPr="007D0DCD" w14:paraId="4401A4E0" w14:textId="77777777" w:rsidTr="00B41462">
        <w:tc>
          <w:tcPr>
            <w:tcW w:w="817" w:type="dxa"/>
            <w:tcBorders>
              <w:top w:val="nil"/>
              <w:left w:val="nil"/>
              <w:bottom w:val="nil"/>
              <w:right w:val="nil"/>
            </w:tcBorders>
          </w:tcPr>
          <w:p w14:paraId="161AC2CC" w14:textId="77777777" w:rsidR="00246C45" w:rsidRPr="00BA5AF4"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1BAFD817" w14:textId="00F11145" w:rsidR="00246C45" w:rsidRPr="007D0DCD" w:rsidRDefault="00246C45" w:rsidP="00246C45">
            <w:pPr>
              <w:rPr>
                <w:rFonts w:ascii="Calibri" w:eastAsia="Times New Roman" w:hAnsi="Calibri" w:cs="Arial"/>
                <w:szCs w:val="20"/>
                <w:lang w:eastAsia="en-GB"/>
              </w:rPr>
            </w:pPr>
            <w:r>
              <w:rPr>
                <w:rFonts w:ascii="Calibri" w:hAnsi="Calibri"/>
              </w:rPr>
              <w:t xml:space="preserve">Market </w:t>
            </w:r>
            <w:r w:rsidR="0060783E">
              <w:rPr>
                <w:rFonts w:ascii="Calibri" w:hAnsi="Calibri"/>
              </w:rPr>
              <w:t xml:space="preserve">and </w:t>
            </w:r>
            <w:r w:rsidR="00707EFC">
              <w:rPr>
                <w:rFonts w:ascii="Calibri" w:hAnsi="Calibri"/>
              </w:rPr>
              <w:t>Private Rented Sector (</w:t>
            </w:r>
            <w:r w:rsidR="0060783E">
              <w:rPr>
                <w:rFonts w:ascii="Calibri" w:hAnsi="Calibri"/>
              </w:rPr>
              <w:t>PRS</w:t>
            </w:r>
            <w:r w:rsidR="00707EFC">
              <w:rPr>
                <w:rFonts w:ascii="Calibri" w:hAnsi="Calibri"/>
              </w:rPr>
              <w:t>)</w:t>
            </w:r>
            <w:r w:rsidR="0060783E">
              <w:rPr>
                <w:rFonts w:ascii="Calibri" w:hAnsi="Calibri"/>
              </w:rPr>
              <w:t xml:space="preserve"> </w:t>
            </w:r>
            <w:r>
              <w:rPr>
                <w:rFonts w:ascii="Calibri" w:hAnsi="Calibri"/>
              </w:rPr>
              <w:t>rents are not subject to the Rent Standard and will be set in accordance with the current market.</w:t>
            </w:r>
          </w:p>
        </w:tc>
      </w:tr>
      <w:tr w:rsidR="00246C45" w:rsidRPr="007D0DCD" w14:paraId="06789876" w14:textId="77777777" w:rsidTr="00B41462">
        <w:tc>
          <w:tcPr>
            <w:tcW w:w="817" w:type="dxa"/>
            <w:tcBorders>
              <w:top w:val="nil"/>
              <w:left w:val="nil"/>
              <w:bottom w:val="nil"/>
              <w:right w:val="nil"/>
            </w:tcBorders>
          </w:tcPr>
          <w:p w14:paraId="7DF591EB" w14:textId="77777777" w:rsidR="00246C45" w:rsidRPr="007D0DCD" w:rsidRDefault="00246C45" w:rsidP="00246C45">
            <w:pPr>
              <w:rPr>
                <w:rFonts w:ascii="Calibri" w:eastAsia="Times New Roman" w:hAnsi="Calibri" w:cs="Arial"/>
                <w:szCs w:val="20"/>
                <w:lang w:eastAsia="en-GB"/>
              </w:rPr>
            </w:pPr>
          </w:p>
        </w:tc>
        <w:tc>
          <w:tcPr>
            <w:tcW w:w="8816" w:type="dxa"/>
            <w:tcBorders>
              <w:top w:val="nil"/>
              <w:left w:val="nil"/>
              <w:bottom w:val="nil"/>
              <w:right w:val="nil"/>
            </w:tcBorders>
          </w:tcPr>
          <w:p w14:paraId="50EBF090" w14:textId="77777777" w:rsidR="00246C45" w:rsidRPr="007D0DCD" w:rsidRDefault="00246C45" w:rsidP="00246C45">
            <w:pPr>
              <w:rPr>
                <w:rFonts w:ascii="Calibri" w:eastAsia="Times New Roman" w:hAnsi="Calibri" w:cs="Arial"/>
                <w:szCs w:val="20"/>
                <w:lang w:eastAsia="en-GB"/>
              </w:rPr>
            </w:pPr>
          </w:p>
        </w:tc>
      </w:tr>
      <w:tr w:rsidR="00246C45" w:rsidRPr="007D0DCD" w14:paraId="24819931" w14:textId="77777777" w:rsidTr="00B41462">
        <w:trPr>
          <w:trHeight w:hRule="exact" w:val="340"/>
        </w:trPr>
        <w:tc>
          <w:tcPr>
            <w:tcW w:w="817" w:type="dxa"/>
            <w:tcBorders>
              <w:top w:val="nil"/>
              <w:left w:val="nil"/>
              <w:bottom w:val="nil"/>
              <w:right w:val="nil"/>
            </w:tcBorders>
          </w:tcPr>
          <w:p w14:paraId="790F2D7E" w14:textId="77777777" w:rsidR="00246C45" w:rsidRPr="005927A0" w:rsidRDefault="00246C45" w:rsidP="00246C45">
            <w:pPr>
              <w:pStyle w:val="ListParagraph"/>
              <w:numPr>
                <w:ilvl w:val="0"/>
                <w:numId w:val="5"/>
              </w:numPr>
            </w:pPr>
            <w:bookmarkStart w:id="9" w:name="_Toc476208629"/>
            <w:bookmarkEnd w:id="9"/>
          </w:p>
        </w:tc>
        <w:tc>
          <w:tcPr>
            <w:tcW w:w="8816" w:type="dxa"/>
            <w:tcBorders>
              <w:top w:val="nil"/>
              <w:left w:val="nil"/>
              <w:bottom w:val="nil"/>
              <w:right w:val="nil"/>
            </w:tcBorders>
          </w:tcPr>
          <w:p w14:paraId="09B2C85F" w14:textId="77777777" w:rsidR="00246C45" w:rsidRDefault="00246C45" w:rsidP="00246C45">
            <w:pPr>
              <w:pStyle w:val="Heading1"/>
              <w:rPr>
                <w:lang w:val="en-US"/>
              </w:rPr>
            </w:pPr>
            <w:bookmarkStart w:id="10" w:name="_Toc116910370"/>
            <w:r w:rsidRPr="006B16FC">
              <w:rPr>
                <w:lang w:val="en-US"/>
              </w:rPr>
              <w:t>LEGAL &amp; REGULATORY REQUIREMENTS</w:t>
            </w:r>
            <w:bookmarkEnd w:id="10"/>
          </w:p>
          <w:p w14:paraId="02341E78" w14:textId="09652E6D" w:rsidR="00246C45" w:rsidRPr="007B06DD" w:rsidRDefault="00246C45" w:rsidP="00246C45">
            <w:pPr>
              <w:rPr>
                <w:lang w:val="en-US"/>
              </w:rPr>
            </w:pPr>
          </w:p>
        </w:tc>
      </w:tr>
      <w:tr w:rsidR="00246C45" w:rsidRPr="007D0DCD" w14:paraId="2DD714A9" w14:textId="77777777" w:rsidTr="00B41462">
        <w:tc>
          <w:tcPr>
            <w:tcW w:w="817" w:type="dxa"/>
            <w:tcBorders>
              <w:top w:val="nil"/>
              <w:left w:val="nil"/>
              <w:bottom w:val="nil"/>
              <w:right w:val="nil"/>
            </w:tcBorders>
          </w:tcPr>
          <w:p w14:paraId="0874BFCA" w14:textId="77777777" w:rsidR="00246C45" w:rsidRPr="00EF55CC" w:rsidRDefault="00246C45" w:rsidP="00246C45">
            <w:pPr>
              <w:rPr>
                <w:lang w:eastAsia="en-GB"/>
              </w:rPr>
            </w:pPr>
          </w:p>
        </w:tc>
        <w:tc>
          <w:tcPr>
            <w:tcW w:w="8816" w:type="dxa"/>
            <w:tcBorders>
              <w:top w:val="nil"/>
              <w:left w:val="nil"/>
              <w:bottom w:val="nil"/>
              <w:right w:val="nil"/>
            </w:tcBorders>
          </w:tcPr>
          <w:p w14:paraId="01EE4B9A" w14:textId="77777777" w:rsidR="00246C45" w:rsidRPr="0002426D" w:rsidRDefault="00246C45" w:rsidP="00246C45">
            <w:pPr>
              <w:rPr>
                <w:i/>
                <w:iCs/>
                <w:color w:val="A6A6A6" w:themeColor="background1" w:themeShade="A6"/>
                <w:lang w:val="en-US"/>
              </w:rPr>
            </w:pPr>
          </w:p>
        </w:tc>
      </w:tr>
      <w:tr w:rsidR="00246C45" w:rsidRPr="007D0DCD" w14:paraId="10D79991" w14:textId="77777777" w:rsidTr="00B41462">
        <w:tc>
          <w:tcPr>
            <w:tcW w:w="817" w:type="dxa"/>
            <w:tcBorders>
              <w:top w:val="nil"/>
              <w:left w:val="nil"/>
              <w:bottom w:val="nil"/>
              <w:right w:val="nil"/>
            </w:tcBorders>
          </w:tcPr>
          <w:p w14:paraId="17588246" w14:textId="77777777" w:rsidR="00246C45" w:rsidRPr="003C1B99" w:rsidRDefault="00246C45" w:rsidP="00246C45">
            <w:pPr>
              <w:pStyle w:val="ListParagraph"/>
              <w:numPr>
                <w:ilvl w:val="1"/>
                <w:numId w:val="5"/>
              </w:numPr>
              <w:ind w:left="431" w:hanging="431"/>
              <w:rPr>
                <w:rFonts w:eastAsia="Times New Roman" w:cs="Arial"/>
                <w:b w:val="0"/>
                <w:color w:val="auto"/>
                <w:szCs w:val="20"/>
                <w:lang w:eastAsia="en-GB"/>
              </w:rPr>
            </w:pPr>
            <w:bookmarkStart w:id="11" w:name="_Ref32235445"/>
          </w:p>
        </w:tc>
        <w:bookmarkEnd w:id="11"/>
        <w:tc>
          <w:tcPr>
            <w:tcW w:w="8816" w:type="dxa"/>
            <w:tcBorders>
              <w:top w:val="nil"/>
              <w:left w:val="nil"/>
              <w:bottom w:val="nil"/>
              <w:right w:val="nil"/>
            </w:tcBorders>
          </w:tcPr>
          <w:p w14:paraId="398A7C84" w14:textId="749C57DC" w:rsidR="00246C45" w:rsidRPr="007D0DCD" w:rsidRDefault="00246C45" w:rsidP="00246C45">
            <w:pPr>
              <w:rPr>
                <w:rFonts w:ascii="Calibri" w:eastAsia="Times New Roman" w:hAnsi="Calibri" w:cs="Arial"/>
                <w:szCs w:val="20"/>
                <w:lang w:eastAsia="en-GB"/>
              </w:rPr>
            </w:pPr>
            <w:r>
              <w:rPr>
                <w:rFonts w:ascii="Calibri" w:eastAsia="Times New Roman" w:hAnsi="Calibri" w:cs="Helvetica"/>
                <w:szCs w:val="23"/>
                <w:lang w:eastAsia="en-GB"/>
              </w:rPr>
              <w:t xml:space="preserve">With effect from April </w:t>
            </w:r>
            <w:r w:rsidRPr="00BA5AF4">
              <w:rPr>
                <w:rFonts w:ascii="Calibri" w:eastAsia="Times New Roman" w:hAnsi="Calibri" w:cs="Helvetica"/>
                <w:szCs w:val="23"/>
                <w:lang w:eastAsia="en-GB"/>
              </w:rPr>
              <w:t xml:space="preserve">2020 rents and rent increases </w:t>
            </w:r>
            <w:r>
              <w:rPr>
                <w:rFonts w:ascii="Calibri" w:eastAsia="Times New Roman" w:hAnsi="Calibri" w:cs="Helvetica"/>
                <w:szCs w:val="23"/>
                <w:lang w:eastAsia="en-GB"/>
              </w:rPr>
              <w:t xml:space="preserve">are governed by the </w:t>
            </w:r>
            <w:r w:rsidRPr="00BA5AF4">
              <w:rPr>
                <w:rFonts w:ascii="Calibri" w:eastAsia="Times New Roman" w:hAnsi="Calibri" w:cs="Helvetica"/>
                <w:szCs w:val="23"/>
                <w:lang w:eastAsia="en-GB"/>
              </w:rPr>
              <w:t xml:space="preserve">Rent Standard issued by RSH permitting annual increases of </w:t>
            </w:r>
            <w:r w:rsidR="009432F1">
              <w:rPr>
                <w:rFonts w:ascii="Calibri" w:eastAsia="Times New Roman" w:hAnsi="Calibri" w:cs="Helvetica"/>
                <w:szCs w:val="23"/>
                <w:lang w:eastAsia="en-GB"/>
              </w:rPr>
              <w:t>Consumer Price In</w:t>
            </w:r>
            <w:r w:rsidR="009D29DB">
              <w:rPr>
                <w:rFonts w:ascii="Calibri" w:eastAsia="Times New Roman" w:hAnsi="Calibri" w:cs="Helvetica"/>
                <w:szCs w:val="23"/>
                <w:lang w:eastAsia="en-GB"/>
              </w:rPr>
              <w:t>dex</w:t>
            </w:r>
            <w:r w:rsidR="009432F1">
              <w:rPr>
                <w:rFonts w:ascii="Calibri" w:eastAsia="Times New Roman" w:hAnsi="Calibri" w:cs="Helvetica"/>
                <w:szCs w:val="23"/>
                <w:lang w:eastAsia="en-GB"/>
              </w:rPr>
              <w:t xml:space="preserve"> (</w:t>
            </w:r>
            <w:r w:rsidRPr="00BA5AF4">
              <w:rPr>
                <w:rFonts w:ascii="Calibri" w:eastAsia="Times New Roman" w:hAnsi="Calibri" w:cs="Helvetica"/>
                <w:szCs w:val="23"/>
                <w:lang w:eastAsia="en-GB"/>
              </w:rPr>
              <w:t>CPI</w:t>
            </w:r>
            <w:r w:rsidR="009432F1">
              <w:rPr>
                <w:rFonts w:ascii="Calibri" w:eastAsia="Times New Roman" w:hAnsi="Calibri" w:cs="Helvetica"/>
                <w:szCs w:val="23"/>
                <w:lang w:eastAsia="en-GB"/>
              </w:rPr>
              <w:t>)</w:t>
            </w:r>
            <w:r w:rsidRPr="00BA5AF4">
              <w:rPr>
                <w:rFonts w:ascii="Calibri" w:eastAsia="Times New Roman" w:hAnsi="Calibri" w:cs="Helvetica"/>
                <w:szCs w:val="23"/>
                <w:lang w:eastAsia="en-GB"/>
              </w:rPr>
              <w:t xml:space="preserve"> + 1% from 2020 for at least five years</w:t>
            </w:r>
            <w:r w:rsidR="0060783E">
              <w:rPr>
                <w:rFonts w:ascii="Calibri" w:eastAsia="Times New Roman" w:hAnsi="Calibri" w:cs="Helvetica"/>
                <w:szCs w:val="23"/>
                <w:lang w:eastAsia="en-GB"/>
              </w:rPr>
              <w:t>, with the exception of 2023/2024 which saw rental increases capped at 7%.</w:t>
            </w:r>
          </w:p>
        </w:tc>
      </w:tr>
      <w:tr w:rsidR="00246C45" w:rsidRPr="007D0DCD" w14:paraId="0B86B6C3" w14:textId="77777777" w:rsidTr="00B41462">
        <w:tc>
          <w:tcPr>
            <w:tcW w:w="817" w:type="dxa"/>
            <w:tcBorders>
              <w:top w:val="nil"/>
              <w:left w:val="nil"/>
              <w:bottom w:val="nil"/>
              <w:right w:val="nil"/>
            </w:tcBorders>
          </w:tcPr>
          <w:p w14:paraId="30B69EA7" w14:textId="77777777" w:rsidR="00246C45" w:rsidRPr="007D0DCD" w:rsidRDefault="00246C45" w:rsidP="00246C45">
            <w:pPr>
              <w:rPr>
                <w:rFonts w:ascii="Calibri" w:eastAsia="Times New Roman" w:hAnsi="Calibri" w:cs="Arial"/>
                <w:szCs w:val="20"/>
                <w:lang w:eastAsia="en-GB"/>
              </w:rPr>
            </w:pPr>
          </w:p>
        </w:tc>
        <w:tc>
          <w:tcPr>
            <w:tcW w:w="8816" w:type="dxa"/>
            <w:tcBorders>
              <w:top w:val="nil"/>
              <w:left w:val="nil"/>
              <w:bottom w:val="nil"/>
              <w:right w:val="nil"/>
            </w:tcBorders>
          </w:tcPr>
          <w:p w14:paraId="43B08F83" w14:textId="77777777" w:rsidR="00246C45" w:rsidRDefault="00246C45" w:rsidP="00246C45">
            <w:pPr>
              <w:rPr>
                <w:rFonts w:ascii="Calibri" w:eastAsia="Times New Roman" w:hAnsi="Calibri" w:cs="Arial"/>
                <w:szCs w:val="20"/>
                <w:lang w:eastAsia="en-GB"/>
              </w:rPr>
            </w:pPr>
          </w:p>
          <w:p w14:paraId="75CFE11E" w14:textId="77777777" w:rsidR="00246C45" w:rsidRDefault="00246C45" w:rsidP="00246C45">
            <w:pPr>
              <w:rPr>
                <w:rFonts w:ascii="Calibri" w:eastAsia="Times New Roman" w:hAnsi="Calibri" w:cs="Arial"/>
                <w:szCs w:val="20"/>
                <w:lang w:eastAsia="en-GB"/>
              </w:rPr>
            </w:pPr>
          </w:p>
          <w:p w14:paraId="5E9DE597" w14:textId="7ACA18E1" w:rsidR="00246C45" w:rsidRDefault="00246C45" w:rsidP="00246C45">
            <w:pPr>
              <w:rPr>
                <w:rFonts w:ascii="Calibri" w:eastAsia="Times New Roman" w:hAnsi="Calibri" w:cs="Arial"/>
                <w:szCs w:val="20"/>
                <w:lang w:eastAsia="en-GB"/>
              </w:rPr>
            </w:pPr>
          </w:p>
          <w:p w14:paraId="22D70D77" w14:textId="77777777" w:rsidR="008D6C5E" w:rsidRDefault="008D6C5E" w:rsidP="00246C45">
            <w:pPr>
              <w:rPr>
                <w:rFonts w:ascii="Calibri" w:eastAsia="Times New Roman" w:hAnsi="Calibri" w:cs="Arial"/>
                <w:szCs w:val="20"/>
                <w:lang w:eastAsia="en-GB"/>
              </w:rPr>
            </w:pPr>
          </w:p>
          <w:p w14:paraId="68F148E7" w14:textId="42FC282C" w:rsidR="00246C45" w:rsidRPr="007D0DCD" w:rsidRDefault="00246C45" w:rsidP="00246C45">
            <w:pPr>
              <w:rPr>
                <w:rFonts w:ascii="Calibri" w:eastAsia="Times New Roman" w:hAnsi="Calibri" w:cs="Arial"/>
                <w:szCs w:val="20"/>
                <w:lang w:eastAsia="en-GB"/>
              </w:rPr>
            </w:pPr>
          </w:p>
        </w:tc>
      </w:tr>
    </w:tbl>
    <w:p w14:paraId="7E6CDD37" w14:textId="77777777" w:rsidR="008D6C5E" w:rsidRDefault="008D6C5E">
      <w:r>
        <w:rPr>
          <w:b/>
        </w:rPr>
        <w:br w:type="page"/>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16"/>
      </w:tblGrid>
      <w:tr w:rsidR="00246C45" w:rsidRPr="007D0DCD" w14:paraId="1BE34B2E" w14:textId="77777777" w:rsidTr="6006DEEF">
        <w:tc>
          <w:tcPr>
            <w:tcW w:w="817" w:type="dxa"/>
            <w:tcBorders>
              <w:top w:val="nil"/>
              <w:left w:val="nil"/>
              <w:bottom w:val="nil"/>
              <w:right w:val="nil"/>
            </w:tcBorders>
          </w:tcPr>
          <w:p w14:paraId="247038E0" w14:textId="1E3550E3" w:rsidR="00246C45" w:rsidRPr="003C1B99" w:rsidRDefault="00246C45" w:rsidP="6006DEEF">
            <w:pPr>
              <w:pStyle w:val="ListParagraph"/>
              <w:numPr>
                <w:ilvl w:val="1"/>
                <w:numId w:val="5"/>
              </w:numPr>
              <w:ind w:left="431" w:hanging="431"/>
              <w:rPr>
                <w:rFonts w:eastAsia="Times New Roman" w:cs="Arial"/>
                <w:b w:val="0"/>
                <w:color w:val="auto"/>
                <w:lang w:eastAsia="en-GB"/>
              </w:rPr>
            </w:pPr>
          </w:p>
        </w:tc>
        <w:tc>
          <w:tcPr>
            <w:tcW w:w="8816" w:type="dxa"/>
            <w:tcBorders>
              <w:top w:val="nil"/>
              <w:left w:val="nil"/>
              <w:bottom w:val="nil"/>
              <w:right w:val="nil"/>
            </w:tcBorders>
          </w:tcPr>
          <w:p w14:paraId="56FAA7D3" w14:textId="4F26F8E2" w:rsidR="00246C45" w:rsidRDefault="00246C45" w:rsidP="00246C45">
            <w:pPr>
              <w:rPr>
                <w:rFonts w:ascii="Calibri" w:eastAsia="Times New Roman" w:hAnsi="Calibri" w:cs="Helvetica"/>
                <w:szCs w:val="23"/>
                <w:lang w:eastAsia="en-GB"/>
              </w:rPr>
            </w:pPr>
            <w:r>
              <w:rPr>
                <w:rFonts w:ascii="Calibri" w:eastAsia="Times New Roman" w:hAnsi="Calibri" w:cs="Helvetica"/>
                <w:szCs w:val="23"/>
                <w:lang w:eastAsia="en-GB"/>
              </w:rPr>
              <w:t>In summary, the rents and service charges are:</w:t>
            </w:r>
          </w:p>
          <w:p w14:paraId="69053D7D" w14:textId="77777777" w:rsidR="00246C45" w:rsidRDefault="00246C45" w:rsidP="00246C45">
            <w:pPr>
              <w:rPr>
                <w:rFonts w:ascii="Calibri" w:eastAsia="Times New Roman" w:hAnsi="Calibri" w:cs="Helvetica"/>
                <w:szCs w:val="23"/>
                <w:lang w:eastAsia="en-GB"/>
              </w:rPr>
            </w:pPr>
          </w:p>
          <w:tbl>
            <w:tblPr>
              <w:tblStyle w:val="TableGrid"/>
              <w:tblW w:w="0" w:type="auto"/>
              <w:tblLayout w:type="fixed"/>
              <w:tblLook w:val="04A0" w:firstRow="1" w:lastRow="0" w:firstColumn="1" w:lastColumn="0" w:noHBand="0" w:noVBand="1"/>
            </w:tblPr>
            <w:tblGrid>
              <w:gridCol w:w="4292"/>
              <w:gridCol w:w="4293"/>
            </w:tblGrid>
            <w:tr w:rsidR="00246C45" w14:paraId="084C136D" w14:textId="77777777" w:rsidTr="009A72A5">
              <w:tc>
                <w:tcPr>
                  <w:tcW w:w="4292" w:type="dxa"/>
                </w:tcPr>
                <w:p w14:paraId="0914DD93" w14:textId="77777777" w:rsidR="00246C45" w:rsidRDefault="00246C45" w:rsidP="00246C45">
                  <w:pPr>
                    <w:jc w:val="both"/>
                    <w:rPr>
                      <w:rFonts w:ascii="Calibri" w:eastAsia="Times New Roman" w:hAnsi="Calibri" w:cs="Helvetica"/>
                      <w:szCs w:val="23"/>
                      <w:lang w:eastAsia="en-GB"/>
                    </w:rPr>
                  </w:pPr>
                  <w:r>
                    <w:rPr>
                      <w:rFonts w:ascii="Calibri" w:eastAsia="Times New Roman" w:hAnsi="Calibri" w:cs="Helvetica"/>
                      <w:szCs w:val="23"/>
                      <w:lang w:eastAsia="en-GB"/>
                    </w:rPr>
                    <w:t>Social Rents</w:t>
                  </w:r>
                </w:p>
              </w:tc>
              <w:tc>
                <w:tcPr>
                  <w:tcW w:w="4293" w:type="dxa"/>
                </w:tcPr>
                <w:p w14:paraId="0084F8DE" w14:textId="3B3ACE00" w:rsidR="00246C45" w:rsidRDefault="00246C45" w:rsidP="00246C45">
                  <w:pPr>
                    <w:jc w:val="both"/>
                    <w:rPr>
                      <w:rFonts w:ascii="Calibri" w:eastAsia="Times New Roman" w:hAnsi="Calibri" w:cs="Helvetica"/>
                      <w:szCs w:val="23"/>
                      <w:lang w:eastAsia="en-GB"/>
                    </w:rPr>
                  </w:pPr>
                  <w:r>
                    <w:rPr>
                      <w:rFonts w:ascii="Calibri" w:eastAsia="Times New Roman" w:hAnsi="Calibri" w:cs="Helvetica"/>
                      <w:szCs w:val="23"/>
                      <w:lang w:eastAsia="en-GB"/>
                    </w:rPr>
                    <w:t>Rent increase of CPI +1%</w:t>
                  </w:r>
                  <w:r w:rsidR="00CC271E">
                    <w:rPr>
                      <w:rFonts w:ascii="Calibri" w:eastAsia="Times New Roman" w:hAnsi="Calibri" w:cs="Helvetica"/>
                      <w:szCs w:val="23"/>
                      <w:lang w:eastAsia="en-GB"/>
                    </w:rPr>
                    <w:t>.</w:t>
                  </w:r>
                </w:p>
              </w:tc>
            </w:tr>
            <w:tr w:rsidR="00246C45" w14:paraId="49799155" w14:textId="77777777" w:rsidTr="009A72A5">
              <w:tc>
                <w:tcPr>
                  <w:tcW w:w="4292" w:type="dxa"/>
                </w:tcPr>
                <w:p w14:paraId="6991E79B" w14:textId="77777777" w:rsidR="00246C45" w:rsidRDefault="00246C45" w:rsidP="00246C45">
                  <w:pPr>
                    <w:jc w:val="both"/>
                    <w:rPr>
                      <w:rFonts w:ascii="Calibri" w:eastAsia="Times New Roman" w:hAnsi="Calibri" w:cs="Helvetica"/>
                      <w:szCs w:val="23"/>
                      <w:lang w:eastAsia="en-GB"/>
                    </w:rPr>
                  </w:pPr>
                  <w:r>
                    <w:rPr>
                      <w:rFonts w:ascii="Calibri" w:eastAsia="Times New Roman" w:hAnsi="Calibri" w:cs="Helvetica"/>
                      <w:szCs w:val="23"/>
                      <w:lang w:eastAsia="en-GB"/>
                    </w:rPr>
                    <w:t>Affordable rents (up to 80% of market rent)*</w:t>
                  </w:r>
                </w:p>
              </w:tc>
              <w:tc>
                <w:tcPr>
                  <w:tcW w:w="4293" w:type="dxa"/>
                </w:tcPr>
                <w:p w14:paraId="1D6F14B1" w14:textId="59FDB3F5" w:rsidR="00246C45" w:rsidRDefault="00246C45" w:rsidP="00246C45">
                  <w:pPr>
                    <w:jc w:val="both"/>
                    <w:rPr>
                      <w:rFonts w:ascii="Calibri" w:eastAsia="Times New Roman" w:hAnsi="Calibri" w:cs="Helvetica"/>
                      <w:szCs w:val="23"/>
                      <w:lang w:eastAsia="en-GB"/>
                    </w:rPr>
                  </w:pPr>
                  <w:r>
                    <w:rPr>
                      <w:rFonts w:ascii="Calibri" w:eastAsia="Times New Roman" w:hAnsi="Calibri" w:cs="Helvetica"/>
                      <w:szCs w:val="23"/>
                      <w:lang w:eastAsia="en-GB"/>
                    </w:rPr>
                    <w:t>Rent increase of CPI +1%</w:t>
                  </w:r>
                  <w:r w:rsidR="00CC271E">
                    <w:rPr>
                      <w:rFonts w:ascii="Calibri" w:eastAsia="Times New Roman" w:hAnsi="Calibri" w:cs="Helvetica"/>
                      <w:szCs w:val="23"/>
                      <w:lang w:eastAsia="en-GB"/>
                    </w:rPr>
                    <w:t>.</w:t>
                  </w:r>
                </w:p>
              </w:tc>
            </w:tr>
            <w:tr w:rsidR="00246C45" w14:paraId="0BA2ED6A" w14:textId="77777777" w:rsidTr="009A72A5">
              <w:tc>
                <w:tcPr>
                  <w:tcW w:w="4292" w:type="dxa"/>
                </w:tcPr>
                <w:p w14:paraId="57C94B36" w14:textId="77777777" w:rsidR="00246C45" w:rsidRDefault="00246C45" w:rsidP="00246C45">
                  <w:pPr>
                    <w:jc w:val="both"/>
                    <w:rPr>
                      <w:rFonts w:ascii="Calibri" w:eastAsia="Times New Roman" w:hAnsi="Calibri" w:cs="Helvetica"/>
                      <w:szCs w:val="23"/>
                      <w:lang w:eastAsia="en-GB"/>
                    </w:rPr>
                  </w:pPr>
                  <w:r>
                    <w:rPr>
                      <w:rFonts w:ascii="Calibri" w:eastAsia="Times New Roman" w:hAnsi="Calibri" w:cs="Helvetica"/>
                      <w:szCs w:val="23"/>
                      <w:lang w:eastAsia="en-GB"/>
                    </w:rPr>
                    <w:t>Intermediate rents (up to 80% of market rent)*</w:t>
                  </w:r>
                </w:p>
              </w:tc>
              <w:tc>
                <w:tcPr>
                  <w:tcW w:w="4293" w:type="dxa"/>
                </w:tcPr>
                <w:p w14:paraId="60572E95" w14:textId="74EDB5A9" w:rsidR="00246C45" w:rsidRDefault="00246C45" w:rsidP="00246C45">
                  <w:pPr>
                    <w:jc w:val="both"/>
                    <w:rPr>
                      <w:rFonts w:ascii="Calibri" w:eastAsia="Times New Roman" w:hAnsi="Calibri" w:cs="Helvetica"/>
                      <w:szCs w:val="23"/>
                      <w:lang w:eastAsia="en-GB"/>
                    </w:rPr>
                  </w:pPr>
                  <w:r>
                    <w:rPr>
                      <w:rFonts w:ascii="Calibri" w:eastAsia="Times New Roman" w:hAnsi="Calibri" w:cs="Helvetica"/>
                      <w:szCs w:val="23"/>
                      <w:lang w:eastAsia="en-GB"/>
                    </w:rPr>
                    <w:t>Rent increase of CPI +1%</w:t>
                  </w:r>
                  <w:r w:rsidR="00CC271E">
                    <w:rPr>
                      <w:rFonts w:ascii="Calibri" w:eastAsia="Times New Roman" w:hAnsi="Calibri" w:cs="Helvetica"/>
                      <w:szCs w:val="23"/>
                      <w:lang w:eastAsia="en-GB"/>
                    </w:rPr>
                    <w:t>.</w:t>
                  </w:r>
                </w:p>
              </w:tc>
            </w:tr>
            <w:tr w:rsidR="00246C45" w14:paraId="776CE8FD" w14:textId="77777777" w:rsidTr="009A72A5">
              <w:tc>
                <w:tcPr>
                  <w:tcW w:w="4292" w:type="dxa"/>
                </w:tcPr>
                <w:p w14:paraId="047AA279" w14:textId="77777777" w:rsidR="00246C45" w:rsidRDefault="00246C45" w:rsidP="00246C45">
                  <w:pPr>
                    <w:jc w:val="both"/>
                    <w:rPr>
                      <w:rFonts w:ascii="Calibri" w:eastAsia="Times New Roman" w:hAnsi="Calibri" w:cs="Helvetica"/>
                      <w:szCs w:val="23"/>
                      <w:lang w:eastAsia="en-GB"/>
                    </w:rPr>
                  </w:pPr>
                  <w:r>
                    <w:rPr>
                      <w:rFonts w:ascii="Calibri" w:eastAsia="Times New Roman" w:hAnsi="Calibri" w:cs="Helvetica"/>
                      <w:szCs w:val="23"/>
                      <w:lang w:eastAsia="en-GB"/>
                    </w:rPr>
                    <w:t>Shared Ownership</w:t>
                  </w:r>
                </w:p>
              </w:tc>
              <w:tc>
                <w:tcPr>
                  <w:tcW w:w="4293" w:type="dxa"/>
                </w:tcPr>
                <w:p w14:paraId="6FB7C0D0" w14:textId="5E5F17AB" w:rsidR="00246C45" w:rsidRDefault="00246C45" w:rsidP="00246C45">
                  <w:pPr>
                    <w:jc w:val="both"/>
                    <w:rPr>
                      <w:rFonts w:ascii="Calibri" w:eastAsia="Times New Roman" w:hAnsi="Calibri" w:cs="Helvetica"/>
                      <w:szCs w:val="23"/>
                      <w:lang w:eastAsia="en-GB"/>
                    </w:rPr>
                  </w:pPr>
                  <w:r>
                    <w:rPr>
                      <w:rFonts w:ascii="Calibri" w:eastAsia="Times New Roman" w:hAnsi="Calibri" w:cs="Helvetica"/>
                      <w:szCs w:val="23"/>
                      <w:lang w:eastAsia="en-GB"/>
                    </w:rPr>
                    <w:t>Rents set in accordance with lease</w:t>
                  </w:r>
                  <w:r w:rsidR="0088453C">
                    <w:rPr>
                      <w:rFonts w:ascii="Calibri" w:eastAsia="Times New Roman" w:hAnsi="Calibri" w:cs="Helvetica"/>
                      <w:szCs w:val="23"/>
                      <w:lang w:eastAsia="en-GB"/>
                    </w:rPr>
                    <w:t xml:space="preserve"> with a rent increase of </w:t>
                  </w:r>
                  <w:r w:rsidR="00EB0536">
                    <w:rPr>
                      <w:rFonts w:ascii="Calibri" w:eastAsia="Times New Roman" w:hAnsi="Calibri" w:cs="Helvetica"/>
                      <w:szCs w:val="23"/>
                      <w:lang w:eastAsia="en-GB"/>
                    </w:rPr>
                    <w:t>Retail Price Index (</w:t>
                  </w:r>
                  <w:r w:rsidR="0088453C">
                    <w:rPr>
                      <w:rFonts w:ascii="Calibri" w:eastAsia="Times New Roman" w:hAnsi="Calibri" w:cs="Helvetica"/>
                      <w:szCs w:val="23"/>
                      <w:lang w:eastAsia="en-GB"/>
                    </w:rPr>
                    <w:t>RPI</w:t>
                  </w:r>
                  <w:r w:rsidR="001E3F99">
                    <w:rPr>
                      <w:rFonts w:ascii="Calibri" w:eastAsia="Times New Roman" w:hAnsi="Calibri" w:cs="Helvetica"/>
                      <w:szCs w:val="23"/>
                      <w:lang w:eastAsia="en-GB"/>
                    </w:rPr>
                    <w:t>)</w:t>
                  </w:r>
                  <w:r w:rsidR="0088453C">
                    <w:rPr>
                      <w:rFonts w:ascii="Calibri" w:eastAsia="Times New Roman" w:hAnsi="Calibri" w:cs="Helvetica"/>
                      <w:szCs w:val="23"/>
                      <w:lang w:eastAsia="en-GB"/>
                    </w:rPr>
                    <w:t xml:space="preserve"> +0.5%</w:t>
                  </w:r>
                  <w:r w:rsidR="00CC271E">
                    <w:rPr>
                      <w:rFonts w:ascii="Calibri" w:eastAsia="Times New Roman" w:hAnsi="Calibri" w:cs="Helvetica"/>
                      <w:szCs w:val="23"/>
                      <w:lang w:eastAsia="en-GB"/>
                    </w:rPr>
                    <w:t>.</w:t>
                  </w:r>
                </w:p>
              </w:tc>
            </w:tr>
            <w:tr w:rsidR="00246C45" w14:paraId="28931294" w14:textId="77777777" w:rsidTr="009A72A5">
              <w:tc>
                <w:tcPr>
                  <w:tcW w:w="4292" w:type="dxa"/>
                </w:tcPr>
                <w:p w14:paraId="283334D0" w14:textId="77777777" w:rsidR="00246C45" w:rsidRDefault="00246C45" w:rsidP="00246C45">
                  <w:pPr>
                    <w:jc w:val="both"/>
                    <w:rPr>
                      <w:rFonts w:ascii="Calibri" w:eastAsia="Times New Roman" w:hAnsi="Calibri" w:cs="Helvetica"/>
                      <w:szCs w:val="23"/>
                      <w:lang w:eastAsia="en-GB"/>
                    </w:rPr>
                  </w:pPr>
                  <w:r>
                    <w:rPr>
                      <w:rFonts w:ascii="Calibri" w:eastAsia="Times New Roman" w:hAnsi="Calibri" w:cs="Helvetica"/>
                      <w:szCs w:val="23"/>
                      <w:lang w:eastAsia="en-GB"/>
                    </w:rPr>
                    <w:t>Service charges for Peaks &amp; Plain tenants</w:t>
                  </w:r>
                </w:p>
              </w:tc>
              <w:tc>
                <w:tcPr>
                  <w:tcW w:w="4293" w:type="dxa"/>
                </w:tcPr>
                <w:p w14:paraId="4F7DCFA0" w14:textId="011BDDF5" w:rsidR="00246C45" w:rsidRDefault="00246C45" w:rsidP="00246C45">
                  <w:pPr>
                    <w:jc w:val="both"/>
                    <w:rPr>
                      <w:rFonts w:ascii="Calibri" w:eastAsia="Times New Roman" w:hAnsi="Calibri" w:cs="Helvetica"/>
                      <w:szCs w:val="23"/>
                      <w:lang w:eastAsia="en-GB"/>
                    </w:rPr>
                  </w:pPr>
                  <w:r>
                    <w:rPr>
                      <w:rFonts w:ascii="Calibri" w:eastAsia="Times New Roman" w:hAnsi="Calibri" w:cs="Helvetica"/>
                      <w:szCs w:val="23"/>
                      <w:lang w:eastAsia="en-GB"/>
                    </w:rPr>
                    <w:t>Set to recover cost of services in accordance with the tenancy agreement</w:t>
                  </w:r>
                  <w:r w:rsidR="00CC271E">
                    <w:rPr>
                      <w:rFonts w:ascii="Calibri" w:eastAsia="Times New Roman" w:hAnsi="Calibri" w:cs="Helvetica"/>
                      <w:szCs w:val="23"/>
                      <w:lang w:eastAsia="en-GB"/>
                    </w:rPr>
                    <w:t>.</w:t>
                  </w:r>
                </w:p>
              </w:tc>
            </w:tr>
          </w:tbl>
          <w:p w14:paraId="2D3C8F5C" w14:textId="77777777" w:rsidR="00246C45" w:rsidRDefault="00246C45" w:rsidP="00246C45">
            <w:pPr>
              <w:rPr>
                <w:rFonts w:ascii="Calibri" w:eastAsia="Times New Roman" w:hAnsi="Calibri" w:cs="Helvetica"/>
                <w:szCs w:val="23"/>
                <w:lang w:eastAsia="en-GB"/>
              </w:rPr>
            </w:pPr>
          </w:p>
          <w:p w14:paraId="07547CDD" w14:textId="77777777" w:rsidR="00246C45" w:rsidRDefault="00246C45" w:rsidP="00246C45">
            <w:pPr>
              <w:rPr>
                <w:rFonts w:ascii="Calibri" w:eastAsia="Times New Roman" w:hAnsi="Calibri" w:cs="Helvetica"/>
                <w:szCs w:val="23"/>
                <w:lang w:eastAsia="en-GB"/>
              </w:rPr>
            </w:pPr>
            <w:r>
              <w:rPr>
                <w:rFonts w:ascii="Calibri" w:eastAsia="Times New Roman" w:hAnsi="Calibri" w:cs="Helvetica"/>
                <w:szCs w:val="23"/>
                <w:lang w:eastAsia="en-GB"/>
              </w:rPr>
              <w:t>CPI is the consumer price index figure from the previous September.</w:t>
            </w:r>
          </w:p>
          <w:p w14:paraId="0042C099" w14:textId="4F46E5DA" w:rsidR="00246C45" w:rsidRPr="00F72317" w:rsidRDefault="00246C45" w:rsidP="00246C45">
            <w:pPr>
              <w:rPr>
                <w:rFonts w:ascii="Calibri" w:eastAsia="Times New Roman" w:hAnsi="Calibri" w:cs="Arial"/>
                <w:szCs w:val="20"/>
                <w:lang w:eastAsia="en-GB"/>
              </w:rPr>
            </w:pPr>
            <w:r>
              <w:rPr>
                <w:rFonts w:eastAsia="Times New Roman" w:cs="Helvetica"/>
                <w:szCs w:val="23"/>
                <w:lang w:eastAsia="en-GB"/>
              </w:rPr>
              <w:t>*</w:t>
            </w:r>
            <w:r w:rsidRPr="00F02FA9">
              <w:rPr>
                <w:rFonts w:eastAsia="Times New Roman" w:cs="Helvetica"/>
                <w:szCs w:val="23"/>
                <w:lang w:eastAsia="en-GB"/>
              </w:rPr>
              <w:t>Rent may be set at less than 80% of market rent subject to EMT approval</w:t>
            </w:r>
          </w:p>
        </w:tc>
      </w:tr>
      <w:tr w:rsidR="00246C45" w:rsidRPr="007D0DCD" w14:paraId="2ABACF88" w14:textId="77777777" w:rsidTr="6006DEEF">
        <w:tc>
          <w:tcPr>
            <w:tcW w:w="817" w:type="dxa"/>
            <w:tcBorders>
              <w:top w:val="nil"/>
              <w:left w:val="nil"/>
              <w:bottom w:val="nil"/>
              <w:right w:val="nil"/>
            </w:tcBorders>
          </w:tcPr>
          <w:p w14:paraId="3CCA549E" w14:textId="77777777" w:rsidR="00246C45" w:rsidRPr="003C1B99" w:rsidRDefault="00246C45" w:rsidP="00246C45">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391D0E4F" w14:textId="77777777" w:rsidR="00246C45" w:rsidRPr="00CC18FE" w:rsidRDefault="00246C45" w:rsidP="00246C45">
            <w:pPr>
              <w:pStyle w:val="ListBullet1"/>
              <w:numPr>
                <w:ilvl w:val="0"/>
                <w:numId w:val="0"/>
              </w:numPr>
              <w:rPr>
                <w:rFonts w:ascii="Calibri" w:hAnsi="Calibri"/>
                <w:lang w:eastAsia="en-GB"/>
              </w:rPr>
            </w:pPr>
          </w:p>
        </w:tc>
      </w:tr>
      <w:tr w:rsidR="00246C45" w:rsidRPr="007D0DCD" w14:paraId="5A2FB5D9" w14:textId="77777777" w:rsidTr="6006DEEF">
        <w:trPr>
          <w:trHeight w:hRule="exact" w:val="340"/>
        </w:trPr>
        <w:tc>
          <w:tcPr>
            <w:tcW w:w="817" w:type="dxa"/>
            <w:tcBorders>
              <w:top w:val="nil"/>
              <w:left w:val="nil"/>
              <w:bottom w:val="nil"/>
              <w:right w:val="nil"/>
            </w:tcBorders>
          </w:tcPr>
          <w:p w14:paraId="407AA3E9" w14:textId="77777777" w:rsidR="00246C45" w:rsidRPr="005927A0" w:rsidRDefault="00246C45" w:rsidP="00246C45">
            <w:pPr>
              <w:pStyle w:val="ListParagraph"/>
              <w:numPr>
                <w:ilvl w:val="0"/>
                <w:numId w:val="5"/>
              </w:numPr>
            </w:pPr>
          </w:p>
        </w:tc>
        <w:tc>
          <w:tcPr>
            <w:tcW w:w="8816" w:type="dxa"/>
            <w:tcBorders>
              <w:top w:val="nil"/>
              <w:left w:val="nil"/>
              <w:bottom w:val="nil"/>
              <w:right w:val="nil"/>
            </w:tcBorders>
          </w:tcPr>
          <w:p w14:paraId="3BEEFB69" w14:textId="1CBBAC5F" w:rsidR="00246C45" w:rsidRPr="000D655A" w:rsidRDefault="00246C45" w:rsidP="00246C45">
            <w:pPr>
              <w:pStyle w:val="Heading1"/>
              <w:rPr>
                <w:lang w:val="en-US"/>
              </w:rPr>
            </w:pPr>
            <w:bookmarkStart w:id="12" w:name="_Toc116910371"/>
            <w:r>
              <w:rPr>
                <w:lang w:val="en-US"/>
              </w:rPr>
              <w:t>definitions</w:t>
            </w:r>
            <w:bookmarkEnd w:id="12"/>
          </w:p>
        </w:tc>
      </w:tr>
      <w:tr w:rsidR="00246C45" w:rsidRPr="007D0DCD" w14:paraId="2FF60D77" w14:textId="77777777" w:rsidTr="6006DEEF">
        <w:tc>
          <w:tcPr>
            <w:tcW w:w="817" w:type="dxa"/>
            <w:tcBorders>
              <w:top w:val="nil"/>
              <w:left w:val="nil"/>
              <w:bottom w:val="nil"/>
              <w:right w:val="nil"/>
            </w:tcBorders>
          </w:tcPr>
          <w:p w14:paraId="097EBA89" w14:textId="77777777" w:rsidR="00246C45" w:rsidRPr="00EF55CC" w:rsidRDefault="00246C45" w:rsidP="00246C45">
            <w:pPr>
              <w:rPr>
                <w:lang w:eastAsia="en-GB"/>
              </w:rPr>
            </w:pPr>
          </w:p>
        </w:tc>
        <w:tc>
          <w:tcPr>
            <w:tcW w:w="8816" w:type="dxa"/>
            <w:tcBorders>
              <w:top w:val="nil"/>
              <w:left w:val="nil"/>
              <w:bottom w:val="nil"/>
              <w:right w:val="nil"/>
            </w:tcBorders>
          </w:tcPr>
          <w:p w14:paraId="5DC6D569" w14:textId="77777777" w:rsidR="00246C45" w:rsidRPr="00BA26F4" w:rsidRDefault="00246C45" w:rsidP="00246C45">
            <w:pPr>
              <w:rPr>
                <w:i/>
                <w:iCs/>
                <w:color w:val="A6A6A6" w:themeColor="background1" w:themeShade="A6"/>
                <w:lang w:val="en-US"/>
              </w:rPr>
            </w:pPr>
          </w:p>
        </w:tc>
      </w:tr>
      <w:tr w:rsidR="00246C45" w:rsidRPr="007D0DCD" w14:paraId="3FCF2499" w14:textId="77777777" w:rsidTr="6006DEEF">
        <w:tc>
          <w:tcPr>
            <w:tcW w:w="817" w:type="dxa"/>
            <w:tcBorders>
              <w:top w:val="nil"/>
              <w:left w:val="nil"/>
              <w:bottom w:val="nil"/>
              <w:right w:val="nil"/>
            </w:tcBorders>
          </w:tcPr>
          <w:p w14:paraId="77DE40F2" w14:textId="77777777" w:rsidR="00246C45" w:rsidRPr="003C1B99"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46E8ACA" w14:textId="24319AB1" w:rsidR="00246C45" w:rsidRPr="007D0DCD" w:rsidRDefault="00246C45" w:rsidP="00246C45">
            <w:pPr>
              <w:rPr>
                <w:rFonts w:ascii="Calibri" w:eastAsia="Times New Roman" w:hAnsi="Calibri" w:cs="Arial"/>
                <w:szCs w:val="20"/>
                <w:lang w:eastAsia="en-GB"/>
              </w:rPr>
            </w:pPr>
            <w:r w:rsidRPr="00DC668B">
              <w:t>The Trust is committed to providing good quality affordable housing to a diverse group of customers, which includes people on modest incomes. To recognise the diversity of our customers and provide affordable housing to people on a range of incomes, the Trust offers a variety of tenancy and rent options. This variety of rent options includes</w:t>
            </w:r>
            <w:r>
              <w:t>;</w:t>
            </w:r>
            <w:r w:rsidRPr="00DC668B">
              <w:t xml:space="preserve"> social rent, affordable rent, intermediate rent</w:t>
            </w:r>
            <w:r>
              <w:t xml:space="preserve"> (Rent to Buy),</w:t>
            </w:r>
            <w:r w:rsidRPr="00DC668B">
              <w:t xml:space="preserve"> and shared ownership rent.</w:t>
            </w:r>
          </w:p>
        </w:tc>
      </w:tr>
      <w:tr w:rsidR="00246C45" w:rsidRPr="007D0DCD" w14:paraId="3F1385F8" w14:textId="77777777" w:rsidTr="6006DEEF">
        <w:tc>
          <w:tcPr>
            <w:tcW w:w="817" w:type="dxa"/>
            <w:tcBorders>
              <w:top w:val="nil"/>
              <w:left w:val="nil"/>
              <w:bottom w:val="nil"/>
              <w:right w:val="nil"/>
            </w:tcBorders>
          </w:tcPr>
          <w:p w14:paraId="041CE2BE" w14:textId="77777777" w:rsidR="00246C45" w:rsidRPr="003C1B99" w:rsidRDefault="00246C45" w:rsidP="00246C45">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633338B6" w14:textId="77777777" w:rsidR="00246C45" w:rsidRDefault="00246C45" w:rsidP="00246C45">
            <w:pPr>
              <w:rPr>
                <w:lang w:eastAsia="en-GB"/>
              </w:rPr>
            </w:pPr>
          </w:p>
        </w:tc>
      </w:tr>
      <w:tr w:rsidR="00246C45" w:rsidRPr="007D0DCD" w14:paraId="2EB2CE54" w14:textId="77777777" w:rsidTr="6006DEEF">
        <w:tc>
          <w:tcPr>
            <w:tcW w:w="817" w:type="dxa"/>
            <w:tcBorders>
              <w:top w:val="nil"/>
              <w:left w:val="nil"/>
              <w:bottom w:val="nil"/>
              <w:right w:val="nil"/>
            </w:tcBorders>
          </w:tcPr>
          <w:p w14:paraId="0AF3914E" w14:textId="77777777" w:rsidR="00246C45" w:rsidRPr="003C1B99"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D1A22B8" w14:textId="2FD3303B" w:rsidR="00246C45" w:rsidRDefault="00246C45" w:rsidP="00246C45">
            <w:pPr>
              <w:rPr>
                <w:lang w:eastAsia="en-GB"/>
              </w:rPr>
            </w:pPr>
            <w:r w:rsidRPr="00DC668B">
              <w:t>All the Trust’s</w:t>
            </w:r>
            <w:r>
              <w:t xml:space="preserve"> affordable</w:t>
            </w:r>
            <w:r w:rsidRPr="00DC668B">
              <w:t xml:space="preserve"> rents are set in accordance with </w:t>
            </w:r>
            <w:r>
              <w:t xml:space="preserve">legislation and </w:t>
            </w:r>
            <w:r w:rsidRPr="00DC668B">
              <w:t xml:space="preserve">guidance </w:t>
            </w:r>
            <w:r>
              <w:t>from the Regulator of Social Housing (RSH)</w:t>
            </w:r>
            <w:r w:rsidRPr="00DC668B">
              <w:t xml:space="preserve"> on calculating rent</w:t>
            </w:r>
            <w:r w:rsidR="0088453C">
              <w:t>,</w:t>
            </w:r>
            <w:r>
              <w:t xml:space="preserve"> to ensure they are broadly comparable with other housing providers local to our areas of operation and are affordable to existing and potential new customers.</w:t>
            </w:r>
          </w:p>
        </w:tc>
      </w:tr>
      <w:tr w:rsidR="00246C45" w:rsidRPr="007D0DCD" w14:paraId="1E72D501" w14:textId="77777777" w:rsidTr="6006DEEF">
        <w:tc>
          <w:tcPr>
            <w:tcW w:w="817" w:type="dxa"/>
            <w:tcBorders>
              <w:top w:val="nil"/>
              <w:left w:val="nil"/>
              <w:bottom w:val="nil"/>
              <w:right w:val="nil"/>
            </w:tcBorders>
          </w:tcPr>
          <w:p w14:paraId="0CC50AAB" w14:textId="77777777" w:rsidR="00246C45" w:rsidRPr="007D0DCD" w:rsidRDefault="00246C45" w:rsidP="00246C45">
            <w:pPr>
              <w:rPr>
                <w:rFonts w:ascii="Calibri" w:eastAsia="Times New Roman" w:hAnsi="Calibri" w:cs="Arial"/>
                <w:szCs w:val="20"/>
                <w:lang w:eastAsia="en-GB"/>
              </w:rPr>
            </w:pPr>
          </w:p>
        </w:tc>
        <w:tc>
          <w:tcPr>
            <w:tcW w:w="8816" w:type="dxa"/>
            <w:tcBorders>
              <w:top w:val="nil"/>
              <w:left w:val="nil"/>
              <w:bottom w:val="nil"/>
              <w:right w:val="nil"/>
            </w:tcBorders>
          </w:tcPr>
          <w:p w14:paraId="7E36FC1D" w14:textId="77777777" w:rsidR="00246C45" w:rsidRPr="007D0DCD" w:rsidRDefault="00246C45" w:rsidP="00246C45">
            <w:pPr>
              <w:rPr>
                <w:rFonts w:ascii="Calibri" w:eastAsia="Times New Roman" w:hAnsi="Calibri" w:cs="Arial"/>
                <w:szCs w:val="20"/>
                <w:lang w:eastAsia="en-GB"/>
              </w:rPr>
            </w:pPr>
          </w:p>
        </w:tc>
      </w:tr>
      <w:tr w:rsidR="00246C45" w:rsidRPr="007D0DCD" w14:paraId="0D12B5F6" w14:textId="77777777" w:rsidTr="6006DEEF">
        <w:trPr>
          <w:trHeight w:hRule="exact" w:val="340"/>
        </w:trPr>
        <w:tc>
          <w:tcPr>
            <w:tcW w:w="817" w:type="dxa"/>
            <w:tcBorders>
              <w:top w:val="nil"/>
              <w:left w:val="nil"/>
              <w:bottom w:val="nil"/>
              <w:right w:val="nil"/>
            </w:tcBorders>
          </w:tcPr>
          <w:p w14:paraId="1A29E1DA" w14:textId="77777777" w:rsidR="00246C45" w:rsidRPr="005927A0" w:rsidRDefault="00246C45" w:rsidP="00246C45">
            <w:pPr>
              <w:pStyle w:val="ListParagraph"/>
              <w:numPr>
                <w:ilvl w:val="0"/>
                <w:numId w:val="5"/>
              </w:numPr>
            </w:pPr>
          </w:p>
        </w:tc>
        <w:tc>
          <w:tcPr>
            <w:tcW w:w="8816" w:type="dxa"/>
            <w:tcBorders>
              <w:top w:val="nil"/>
              <w:left w:val="nil"/>
              <w:bottom w:val="nil"/>
              <w:right w:val="nil"/>
            </w:tcBorders>
          </w:tcPr>
          <w:p w14:paraId="53CA25A3" w14:textId="032AB4BA" w:rsidR="00246C45" w:rsidRPr="000D655A" w:rsidRDefault="00246C45" w:rsidP="00246C45">
            <w:pPr>
              <w:pStyle w:val="Heading1"/>
              <w:rPr>
                <w:lang w:val="en-US"/>
              </w:rPr>
            </w:pPr>
            <w:bookmarkStart w:id="13" w:name="_Toc116910372"/>
            <w:r>
              <w:rPr>
                <w:lang w:val="en-US"/>
              </w:rPr>
              <w:t>OUR POLICY</w:t>
            </w:r>
            <w:bookmarkEnd w:id="13"/>
          </w:p>
        </w:tc>
      </w:tr>
      <w:tr w:rsidR="00246C45" w:rsidRPr="007D0DCD" w14:paraId="18912B3D" w14:textId="77777777" w:rsidTr="6006DEEF">
        <w:tc>
          <w:tcPr>
            <w:tcW w:w="817" w:type="dxa"/>
            <w:tcBorders>
              <w:top w:val="nil"/>
              <w:left w:val="nil"/>
              <w:bottom w:val="nil"/>
              <w:right w:val="nil"/>
            </w:tcBorders>
          </w:tcPr>
          <w:p w14:paraId="2E11EB5A" w14:textId="77777777" w:rsidR="00246C45" w:rsidRPr="00EF55CC" w:rsidRDefault="00246C45" w:rsidP="00246C45">
            <w:pPr>
              <w:rPr>
                <w:lang w:eastAsia="en-GB"/>
              </w:rPr>
            </w:pPr>
          </w:p>
        </w:tc>
        <w:tc>
          <w:tcPr>
            <w:tcW w:w="8816" w:type="dxa"/>
            <w:tcBorders>
              <w:top w:val="nil"/>
              <w:left w:val="nil"/>
              <w:bottom w:val="nil"/>
              <w:right w:val="nil"/>
            </w:tcBorders>
          </w:tcPr>
          <w:p w14:paraId="007EB923" w14:textId="77777777" w:rsidR="00246C45" w:rsidRPr="00BA26F4" w:rsidRDefault="00246C45" w:rsidP="00246C45">
            <w:pPr>
              <w:rPr>
                <w:i/>
                <w:iCs/>
                <w:color w:val="A6A6A6" w:themeColor="background1" w:themeShade="A6"/>
                <w:lang w:val="en-US"/>
              </w:rPr>
            </w:pPr>
          </w:p>
        </w:tc>
      </w:tr>
      <w:tr w:rsidR="00246C45" w:rsidRPr="007D0DCD" w14:paraId="79335D6F" w14:textId="77777777" w:rsidTr="6006DEEF">
        <w:tc>
          <w:tcPr>
            <w:tcW w:w="817" w:type="dxa"/>
            <w:tcBorders>
              <w:top w:val="nil"/>
              <w:left w:val="nil"/>
              <w:bottom w:val="nil"/>
              <w:right w:val="nil"/>
            </w:tcBorders>
          </w:tcPr>
          <w:p w14:paraId="73D2A5CB" w14:textId="77777777" w:rsidR="00246C45" w:rsidRPr="003C1B99"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732F5095" w14:textId="0429A9B3" w:rsidR="00246C45" w:rsidRPr="007D0DCD" w:rsidRDefault="00246C45" w:rsidP="00246C45">
            <w:pPr>
              <w:rPr>
                <w:rFonts w:ascii="Calibri" w:eastAsia="Times New Roman" w:hAnsi="Calibri" w:cs="Arial"/>
                <w:szCs w:val="20"/>
                <w:lang w:eastAsia="en-GB"/>
              </w:rPr>
            </w:pPr>
            <w:r>
              <w:rPr>
                <w:rFonts w:ascii="Calibri" w:eastAsia="Times New Roman" w:hAnsi="Calibri" w:cs="Arial"/>
                <w:szCs w:val="20"/>
                <w:lang w:eastAsia="en-GB"/>
              </w:rPr>
              <w:t>The Rent Setting and Service Charge Policy will be approved by the Board and the accompanying procedures approved by EMT.</w:t>
            </w:r>
          </w:p>
        </w:tc>
      </w:tr>
      <w:tr w:rsidR="00246C45" w:rsidRPr="007D0DCD" w14:paraId="477C105E" w14:textId="77777777" w:rsidTr="6006DEEF">
        <w:tc>
          <w:tcPr>
            <w:tcW w:w="817" w:type="dxa"/>
            <w:tcBorders>
              <w:top w:val="nil"/>
              <w:left w:val="nil"/>
              <w:bottom w:val="nil"/>
              <w:right w:val="nil"/>
            </w:tcBorders>
          </w:tcPr>
          <w:p w14:paraId="42946E86" w14:textId="77777777" w:rsidR="00246C45" w:rsidRPr="007D0DCD" w:rsidRDefault="00246C45" w:rsidP="00246C45">
            <w:pPr>
              <w:rPr>
                <w:rFonts w:ascii="Calibri" w:eastAsia="Times New Roman" w:hAnsi="Calibri" w:cs="Arial"/>
                <w:szCs w:val="20"/>
                <w:lang w:eastAsia="en-GB"/>
              </w:rPr>
            </w:pPr>
          </w:p>
        </w:tc>
        <w:tc>
          <w:tcPr>
            <w:tcW w:w="8816" w:type="dxa"/>
            <w:tcBorders>
              <w:top w:val="nil"/>
              <w:left w:val="nil"/>
              <w:bottom w:val="nil"/>
              <w:right w:val="nil"/>
            </w:tcBorders>
          </w:tcPr>
          <w:p w14:paraId="5360E69E" w14:textId="77777777" w:rsidR="00246C45" w:rsidRPr="007D0DCD" w:rsidRDefault="00246C45" w:rsidP="00246C45">
            <w:pPr>
              <w:rPr>
                <w:rFonts w:ascii="Calibri" w:eastAsia="Times New Roman" w:hAnsi="Calibri" w:cs="Arial"/>
                <w:szCs w:val="20"/>
                <w:lang w:eastAsia="en-GB"/>
              </w:rPr>
            </w:pPr>
          </w:p>
        </w:tc>
      </w:tr>
      <w:tr w:rsidR="00246C45" w:rsidRPr="007D0DCD" w14:paraId="13E10090" w14:textId="77777777" w:rsidTr="6006DEEF">
        <w:tc>
          <w:tcPr>
            <w:tcW w:w="817" w:type="dxa"/>
            <w:tcBorders>
              <w:top w:val="nil"/>
              <w:left w:val="nil"/>
              <w:bottom w:val="nil"/>
              <w:right w:val="nil"/>
            </w:tcBorders>
          </w:tcPr>
          <w:p w14:paraId="5630D668" w14:textId="77777777" w:rsidR="00246C45" w:rsidRPr="003C1B99"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A9E3EEE" w14:textId="2D9BC255" w:rsidR="00246C45" w:rsidRPr="00F72317" w:rsidRDefault="00246C45" w:rsidP="00246C45">
            <w:pPr>
              <w:rPr>
                <w:rFonts w:eastAsia="Times New Roman" w:cs="Arial"/>
                <w:color w:val="000000" w:themeColor="text1"/>
                <w:szCs w:val="20"/>
                <w:lang w:eastAsia="en-GB"/>
              </w:rPr>
            </w:pPr>
            <w:r>
              <w:rPr>
                <w:rFonts w:ascii="Calibri" w:eastAsia="Times New Roman" w:hAnsi="Calibri" w:cs="Arial"/>
                <w:szCs w:val="20"/>
                <w:lang w:eastAsia="en-GB"/>
              </w:rPr>
              <w:t>The Trust will review the rents it sets on an annual basis. Changes to rent charges will be on the first Monday in April each year. We will inform all customers in writing of any changes to their rent including providing information of how the rent has been set</w:t>
            </w:r>
            <w:r w:rsidR="008D6C5E">
              <w:rPr>
                <w:rFonts w:ascii="Calibri" w:eastAsia="Times New Roman" w:hAnsi="Calibri" w:cs="Arial"/>
                <w:szCs w:val="20"/>
                <w:lang w:eastAsia="en-GB"/>
              </w:rPr>
              <w:t xml:space="preserve"> </w:t>
            </w:r>
            <w:r>
              <w:rPr>
                <w:rFonts w:ascii="Calibri" w:eastAsia="Times New Roman" w:hAnsi="Calibri" w:cs="Arial"/>
                <w:szCs w:val="20"/>
                <w:lang w:eastAsia="en-GB"/>
              </w:rPr>
              <w:t>giving a minimum of 1 calendar months’ notice before the changes come into effect, outlining how the rent has been calculated.</w:t>
            </w:r>
          </w:p>
        </w:tc>
      </w:tr>
      <w:tr w:rsidR="00246C45" w:rsidRPr="007D0DCD" w14:paraId="7654DCBE" w14:textId="77777777" w:rsidTr="6006DEEF">
        <w:tc>
          <w:tcPr>
            <w:tcW w:w="817" w:type="dxa"/>
            <w:tcBorders>
              <w:top w:val="nil"/>
              <w:left w:val="nil"/>
              <w:bottom w:val="nil"/>
              <w:right w:val="nil"/>
            </w:tcBorders>
          </w:tcPr>
          <w:p w14:paraId="39DF4E75" w14:textId="77777777" w:rsidR="00246C45" w:rsidRPr="007D0DCD" w:rsidRDefault="00246C45" w:rsidP="00246C45">
            <w:pPr>
              <w:rPr>
                <w:rFonts w:ascii="Calibri" w:eastAsia="Times New Roman" w:hAnsi="Calibri" w:cs="Arial"/>
                <w:szCs w:val="20"/>
                <w:lang w:eastAsia="en-GB"/>
              </w:rPr>
            </w:pPr>
          </w:p>
        </w:tc>
        <w:tc>
          <w:tcPr>
            <w:tcW w:w="8816" w:type="dxa"/>
            <w:tcBorders>
              <w:top w:val="nil"/>
              <w:left w:val="nil"/>
              <w:bottom w:val="nil"/>
              <w:right w:val="nil"/>
            </w:tcBorders>
          </w:tcPr>
          <w:p w14:paraId="46D1B68B" w14:textId="77777777" w:rsidR="00246C45" w:rsidRPr="007D0DCD" w:rsidRDefault="00246C45" w:rsidP="00246C45">
            <w:pPr>
              <w:rPr>
                <w:rFonts w:ascii="Calibri" w:eastAsia="Times New Roman" w:hAnsi="Calibri" w:cs="Arial"/>
                <w:szCs w:val="20"/>
                <w:lang w:eastAsia="en-GB"/>
              </w:rPr>
            </w:pPr>
          </w:p>
        </w:tc>
      </w:tr>
      <w:tr w:rsidR="00246C45" w:rsidRPr="007D0DCD" w14:paraId="7522C3B4" w14:textId="77777777" w:rsidTr="6006DEEF">
        <w:tc>
          <w:tcPr>
            <w:tcW w:w="817" w:type="dxa"/>
            <w:tcBorders>
              <w:top w:val="nil"/>
              <w:left w:val="nil"/>
              <w:bottom w:val="nil"/>
              <w:right w:val="nil"/>
            </w:tcBorders>
          </w:tcPr>
          <w:p w14:paraId="29C2AB87" w14:textId="77777777" w:rsidR="00246C45" w:rsidRPr="003C1B99"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5EB99CC" w14:textId="77777777" w:rsidR="00246C45" w:rsidRDefault="00246C45" w:rsidP="00246C45">
            <w:pPr>
              <w:rPr>
                <w:rFonts w:ascii="Calibri" w:eastAsia="Times New Roman" w:hAnsi="Calibri" w:cs="Arial"/>
                <w:szCs w:val="20"/>
                <w:lang w:eastAsia="en-GB"/>
              </w:rPr>
            </w:pPr>
            <w:r>
              <w:rPr>
                <w:rFonts w:ascii="Calibri" w:eastAsia="Times New Roman" w:hAnsi="Calibri" w:cs="Arial"/>
                <w:szCs w:val="20"/>
                <w:lang w:eastAsia="en-GB"/>
              </w:rPr>
              <w:t>In line with the RSH regulatory standard the Trust will exempt the following categories from social rent and the Rent standard:</w:t>
            </w:r>
          </w:p>
          <w:p w14:paraId="0B869C66" w14:textId="77777777" w:rsidR="00246C45" w:rsidRPr="00E61B3B" w:rsidRDefault="00246C45" w:rsidP="00246C45">
            <w:pPr>
              <w:pStyle w:val="ListParagraph"/>
              <w:numPr>
                <w:ilvl w:val="0"/>
                <w:numId w:val="23"/>
              </w:numPr>
              <w:rPr>
                <w:rFonts w:eastAsia="Times New Roman" w:cs="Arial"/>
                <w:color w:val="auto"/>
                <w:szCs w:val="20"/>
                <w:lang w:eastAsia="en-GB"/>
              </w:rPr>
            </w:pPr>
            <w:r w:rsidRPr="00E61B3B">
              <w:rPr>
                <w:rFonts w:eastAsia="Times New Roman" w:cs="Arial"/>
                <w:b w:val="0"/>
                <w:color w:val="auto"/>
                <w:szCs w:val="20"/>
                <w:lang w:eastAsia="en-GB"/>
              </w:rPr>
              <w:t>Shared ownership</w:t>
            </w:r>
          </w:p>
          <w:p w14:paraId="6C4889D2" w14:textId="74AB3ABD" w:rsidR="00246C45" w:rsidRPr="00AA5E5D" w:rsidRDefault="00246C45" w:rsidP="00246C45">
            <w:pPr>
              <w:pStyle w:val="ListParagraph"/>
              <w:numPr>
                <w:ilvl w:val="0"/>
                <w:numId w:val="23"/>
              </w:numPr>
              <w:rPr>
                <w:rFonts w:eastAsia="Times New Roman" w:cs="Arial"/>
                <w:szCs w:val="20"/>
                <w:lang w:eastAsia="en-GB"/>
              </w:rPr>
            </w:pPr>
            <w:r>
              <w:rPr>
                <w:rFonts w:eastAsia="Times New Roman" w:cs="Arial"/>
                <w:b w:val="0"/>
                <w:color w:val="auto"/>
                <w:szCs w:val="20"/>
                <w:lang w:eastAsia="en-GB"/>
              </w:rPr>
              <w:t xml:space="preserve">Market </w:t>
            </w:r>
            <w:r w:rsidR="0088453C">
              <w:rPr>
                <w:rFonts w:eastAsia="Times New Roman" w:cs="Arial"/>
                <w:b w:val="0"/>
                <w:color w:val="auto"/>
                <w:szCs w:val="20"/>
                <w:lang w:eastAsia="en-GB"/>
              </w:rPr>
              <w:t xml:space="preserve">and PRS </w:t>
            </w:r>
            <w:r>
              <w:rPr>
                <w:rFonts w:eastAsia="Times New Roman" w:cs="Arial"/>
                <w:b w:val="0"/>
                <w:color w:val="auto"/>
                <w:szCs w:val="20"/>
                <w:lang w:eastAsia="en-GB"/>
              </w:rPr>
              <w:t>rent</w:t>
            </w:r>
          </w:p>
          <w:p w14:paraId="2C3B2C64" w14:textId="35DC201F" w:rsidR="00246C45" w:rsidRPr="00DC29DD" w:rsidRDefault="00246C45" w:rsidP="00246C45">
            <w:pPr>
              <w:pStyle w:val="ListParagraph"/>
              <w:numPr>
                <w:ilvl w:val="0"/>
                <w:numId w:val="23"/>
              </w:numPr>
              <w:rPr>
                <w:rFonts w:eastAsia="Times New Roman" w:cs="Arial"/>
                <w:b w:val="0"/>
                <w:bCs/>
                <w:szCs w:val="20"/>
                <w:lang w:eastAsia="en-GB"/>
              </w:rPr>
            </w:pPr>
            <w:r w:rsidRPr="00DC29DD">
              <w:rPr>
                <w:rFonts w:eastAsia="Times New Roman" w:cs="Arial"/>
                <w:b w:val="0"/>
                <w:bCs/>
                <w:color w:val="auto"/>
                <w:szCs w:val="20"/>
                <w:lang w:eastAsia="en-GB"/>
              </w:rPr>
              <w:t>Commercial rents.</w:t>
            </w:r>
          </w:p>
        </w:tc>
      </w:tr>
      <w:tr w:rsidR="00246C45" w:rsidRPr="007D0DCD" w14:paraId="14F8572E" w14:textId="77777777" w:rsidTr="6006DEEF">
        <w:tc>
          <w:tcPr>
            <w:tcW w:w="817" w:type="dxa"/>
            <w:tcBorders>
              <w:top w:val="nil"/>
              <w:left w:val="nil"/>
              <w:bottom w:val="nil"/>
              <w:right w:val="nil"/>
            </w:tcBorders>
          </w:tcPr>
          <w:p w14:paraId="51BAC641" w14:textId="77777777" w:rsidR="00246C45" w:rsidRPr="007D0DCD" w:rsidRDefault="00246C45" w:rsidP="00246C45">
            <w:pPr>
              <w:rPr>
                <w:rFonts w:ascii="Calibri" w:eastAsia="Times New Roman" w:hAnsi="Calibri" w:cs="Arial"/>
                <w:szCs w:val="20"/>
                <w:lang w:eastAsia="en-GB"/>
              </w:rPr>
            </w:pPr>
          </w:p>
        </w:tc>
        <w:tc>
          <w:tcPr>
            <w:tcW w:w="8816" w:type="dxa"/>
            <w:tcBorders>
              <w:top w:val="nil"/>
              <w:left w:val="nil"/>
              <w:bottom w:val="nil"/>
              <w:right w:val="nil"/>
            </w:tcBorders>
          </w:tcPr>
          <w:p w14:paraId="05547AD1" w14:textId="77777777" w:rsidR="00246C45" w:rsidRPr="007D0DCD" w:rsidRDefault="00246C45" w:rsidP="00246C45">
            <w:pPr>
              <w:rPr>
                <w:rFonts w:ascii="Calibri" w:eastAsia="Times New Roman" w:hAnsi="Calibri" w:cs="Arial"/>
                <w:szCs w:val="20"/>
                <w:lang w:eastAsia="en-GB"/>
              </w:rPr>
            </w:pPr>
          </w:p>
        </w:tc>
      </w:tr>
      <w:tr w:rsidR="00246C45" w:rsidRPr="007D0DCD" w14:paraId="315FC48B" w14:textId="77777777" w:rsidTr="6006DEEF">
        <w:tc>
          <w:tcPr>
            <w:tcW w:w="817" w:type="dxa"/>
            <w:tcBorders>
              <w:top w:val="nil"/>
              <w:left w:val="nil"/>
              <w:bottom w:val="nil"/>
              <w:right w:val="nil"/>
            </w:tcBorders>
          </w:tcPr>
          <w:p w14:paraId="06991B17" w14:textId="77777777" w:rsidR="00246C45" w:rsidRPr="003C1B99"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63DA18EA" w14:textId="5EC8E17E" w:rsidR="00246C45" w:rsidRDefault="00246C45" w:rsidP="00246C45">
            <w:pPr>
              <w:rPr>
                <w:rFonts w:ascii="Calibri" w:eastAsia="Times New Roman" w:hAnsi="Calibri" w:cs="Arial"/>
                <w:szCs w:val="20"/>
                <w:lang w:eastAsia="en-GB"/>
              </w:rPr>
            </w:pPr>
            <w:r>
              <w:rPr>
                <w:rFonts w:ascii="Calibri" w:eastAsia="Times New Roman" w:hAnsi="Calibri" w:cs="Arial"/>
                <w:szCs w:val="20"/>
                <w:lang w:eastAsia="en-GB"/>
              </w:rPr>
              <w:t>Rent Flexibility – the rent set may include an upwards tolerance called rent flexibility. This allows social rents for properties at re-let or for new developments to include the flexibility of:</w:t>
            </w:r>
          </w:p>
          <w:p w14:paraId="40FAC3F7" w14:textId="77777777" w:rsidR="00246C45" w:rsidRPr="00AA5E5D" w:rsidRDefault="00246C45" w:rsidP="00246C45">
            <w:pPr>
              <w:pStyle w:val="ListParagraph"/>
              <w:numPr>
                <w:ilvl w:val="0"/>
                <w:numId w:val="24"/>
              </w:numPr>
              <w:spacing w:line="259" w:lineRule="auto"/>
              <w:rPr>
                <w:b w:val="0"/>
                <w:color w:val="auto"/>
              </w:rPr>
            </w:pPr>
            <w:r w:rsidRPr="00AA5E5D">
              <w:rPr>
                <w:b w:val="0"/>
                <w:color w:val="auto"/>
              </w:rPr>
              <w:t>For supported housing accommodation, up to 10% of formula rent</w:t>
            </w:r>
          </w:p>
          <w:p w14:paraId="6F3CB757" w14:textId="77777777" w:rsidR="00246C45" w:rsidRPr="00AA5E5D" w:rsidRDefault="00246C45" w:rsidP="00246C45">
            <w:pPr>
              <w:pStyle w:val="ListParagraph"/>
              <w:numPr>
                <w:ilvl w:val="0"/>
                <w:numId w:val="24"/>
              </w:numPr>
              <w:spacing w:line="259" w:lineRule="auto"/>
              <w:rPr>
                <w:b w:val="0"/>
                <w:color w:val="auto"/>
              </w:rPr>
            </w:pPr>
            <w:r w:rsidRPr="00AA5E5D">
              <w:rPr>
                <w:b w:val="0"/>
                <w:color w:val="auto"/>
              </w:rPr>
              <w:t>For non</w:t>
            </w:r>
            <w:r>
              <w:rPr>
                <w:b w:val="0"/>
                <w:color w:val="auto"/>
              </w:rPr>
              <w:t>-</w:t>
            </w:r>
            <w:r w:rsidRPr="00AA5E5D">
              <w:rPr>
                <w:b w:val="0"/>
                <w:color w:val="auto"/>
              </w:rPr>
              <w:t>supported housing accommodation, up to 5% of formula rent</w:t>
            </w:r>
          </w:p>
          <w:p w14:paraId="075271EE" w14:textId="77777777" w:rsidR="00246C45" w:rsidRDefault="00246C45" w:rsidP="00246C45">
            <w:pPr>
              <w:spacing w:line="259" w:lineRule="auto"/>
            </w:pPr>
          </w:p>
          <w:p w14:paraId="3AB0F2CF" w14:textId="00E96B8A" w:rsidR="00246C45" w:rsidRPr="00CC18FE" w:rsidRDefault="00246C45" w:rsidP="00246C45">
            <w:pPr>
              <w:pStyle w:val="ListBullet1"/>
              <w:numPr>
                <w:ilvl w:val="0"/>
                <w:numId w:val="0"/>
              </w:numPr>
              <w:rPr>
                <w:rFonts w:ascii="Calibri" w:hAnsi="Calibri"/>
                <w:lang w:eastAsia="en-GB"/>
              </w:rPr>
            </w:pPr>
            <w:r>
              <w:t>The Board will review the option to apply the application of the rent flexibility, taking into account local factors and circumstances and affordability in consultation with customers.</w:t>
            </w:r>
          </w:p>
        </w:tc>
      </w:tr>
      <w:tr w:rsidR="00246C45" w:rsidRPr="007D0DCD" w14:paraId="07772CA2" w14:textId="77777777" w:rsidTr="6006DEEF">
        <w:tc>
          <w:tcPr>
            <w:tcW w:w="817" w:type="dxa"/>
            <w:tcBorders>
              <w:top w:val="nil"/>
              <w:left w:val="nil"/>
              <w:bottom w:val="nil"/>
              <w:right w:val="nil"/>
            </w:tcBorders>
          </w:tcPr>
          <w:p w14:paraId="4203DE10" w14:textId="77777777" w:rsidR="00246C45" w:rsidRPr="00BB4B57" w:rsidRDefault="00246C45" w:rsidP="00246C45">
            <w:pPr>
              <w:rPr>
                <w:rFonts w:eastAsia="Times New Roman" w:cs="Arial"/>
                <w:szCs w:val="20"/>
                <w:lang w:eastAsia="en-GB"/>
              </w:rPr>
            </w:pPr>
          </w:p>
        </w:tc>
        <w:tc>
          <w:tcPr>
            <w:tcW w:w="8816" w:type="dxa"/>
            <w:tcBorders>
              <w:top w:val="nil"/>
              <w:left w:val="nil"/>
              <w:bottom w:val="nil"/>
              <w:right w:val="nil"/>
            </w:tcBorders>
          </w:tcPr>
          <w:p w14:paraId="296AF64A" w14:textId="77777777" w:rsidR="00246C45" w:rsidRPr="00CC18FE" w:rsidRDefault="00246C45" w:rsidP="00246C45">
            <w:pPr>
              <w:pStyle w:val="ListBullet1"/>
              <w:numPr>
                <w:ilvl w:val="0"/>
                <w:numId w:val="0"/>
              </w:numPr>
              <w:rPr>
                <w:rFonts w:ascii="Calibri" w:hAnsi="Calibri"/>
                <w:lang w:eastAsia="en-GB"/>
              </w:rPr>
            </w:pPr>
          </w:p>
        </w:tc>
      </w:tr>
      <w:tr w:rsidR="00246C45" w:rsidRPr="007D0DCD" w14:paraId="65630D61" w14:textId="77777777" w:rsidTr="6006DEEF">
        <w:tc>
          <w:tcPr>
            <w:tcW w:w="817" w:type="dxa"/>
            <w:tcBorders>
              <w:top w:val="nil"/>
              <w:left w:val="nil"/>
              <w:bottom w:val="nil"/>
              <w:right w:val="nil"/>
            </w:tcBorders>
          </w:tcPr>
          <w:p w14:paraId="51324F8F" w14:textId="77777777" w:rsidR="00246C45" w:rsidRPr="003C1B99"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12230AD3" w14:textId="670F8C02" w:rsidR="00246C45" w:rsidRPr="00CC18FE" w:rsidRDefault="00246C45" w:rsidP="00246C45">
            <w:pPr>
              <w:pStyle w:val="ListBullet1"/>
              <w:numPr>
                <w:ilvl w:val="0"/>
                <w:numId w:val="0"/>
              </w:numPr>
              <w:rPr>
                <w:rFonts w:ascii="Calibri" w:hAnsi="Calibri"/>
                <w:lang w:eastAsia="en-GB"/>
              </w:rPr>
            </w:pPr>
            <w:r>
              <w:rPr>
                <w:rFonts w:ascii="Calibri" w:eastAsia="Times New Roman" w:hAnsi="Calibri" w:cs="Arial"/>
                <w:szCs w:val="20"/>
                <w:lang w:eastAsia="en-GB"/>
              </w:rPr>
              <w:t>The accompanying procedures provide details of the rent methodology for each tenure type for both existing tenancies and re-lets taking account of the relevant legislation, regulations, and guidance.</w:t>
            </w:r>
          </w:p>
        </w:tc>
      </w:tr>
      <w:tr w:rsidR="00AF1C9F" w:rsidRPr="007D0DCD" w14:paraId="3B7B5301" w14:textId="77777777" w:rsidTr="6006DEEF">
        <w:tc>
          <w:tcPr>
            <w:tcW w:w="817" w:type="dxa"/>
            <w:tcBorders>
              <w:top w:val="nil"/>
              <w:left w:val="nil"/>
              <w:bottom w:val="nil"/>
              <w:right w:val="nil"/>
            </w:tcBorders>
          </w:tcPr>
          <w:p w14:paraId="4829394F" w14:textId="77777777" w:rsidR="00AF1C9F" w:rsidRPr="003C1B99" w:rsidRDefault="00AF1C9F" w:rsidP="00067946">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0886443" w14:textId="77777777" w:rsidR="00AF1C9F" w:rsidRDefault="00AF1C9F" w:rsidP="00246C45">
            <w:pPr>
              <w:pStyle w:val="ListBullet1"/>
              <w:numPr>
                <w:ilvl w:val="0"/>
                <w:numId w:val="0"/>
              </w:numPr>
              <w:rPr>
                <w:rFonts w:ascii="Calibri" w:eastAsia="Times New Roman" w:hAnsi="Calibri" w:cs="Arial"/>
                <w:szCs w:val="20"/>
                <w:lang w:eastAsia="en-GB"/>
              </w:rPr>
            </w:pPr>
          </w:p>
        </w:tc>
      </w:tr>
      <w:tr w:rsidR="00AF1C9F" w:rsidRPr="007D0DCD" w14:paraId="4461D6FB" w14:textId="77777777" w:rsidTr="6006DEEF">
        <w:tc>
          <w:tcPr>
            <w:tcW w:w="817" w:type="dxa"/>
            <w:tcBorders>
              <w:top w:val="nil"/>
              <w:left w:val="nil"/>
              <w:bottom w:val="nil"/>
              <w:right w:val="nil"/>
            </w:tcBorders>
          </w:tcPr>
          <w:p w14:paraId="052C202A" w14:textId="77777777" w:rsidR="00AF1C9F" w:rsidRPr="003C1B99" w:rsidRDefault="00AF1C9F"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5249E934" w14:textId="0F6BBB26" w:rsidR="003C509D" w:rsidRDefault="003C509D" w:rsidP="00246C45">
            <w:pPr>
              <w:pStyle w:val="ListBullet1"/>
              <w:numPr>
                <w:ilvl w:val="0"/>
                <w:numId w:val="0"/>
              </w:numPr>
              <w:rPr>
                <w:rFonts w:ascii="Calibri" w:eastAsia="Calibri" w:hAnsi="Calibri" w:cs="Arial"/>
                <w:bCs/>
              </w:rPr>
            </w:pPr>
            <w:r w:rsidRPr="003C509D">
              <w:rPr>
                <w:rFonts w:ascii="Calibri" w:eastAsia="Calibri" w:hAnsi="Calibri" w:cs="Arial"/>
                <w:bCs/>
              </w:rPr>
              <w:t xml:space="preserve">The financial year 2024/2025 is a unique year that comes around once every five to six years in that it includes an additional week in the financial year, defined by the number of Mondays (or gales) in the year. </w:t>
            </w:r>
            <w:r>
              <w:rPr>
                <w:rFonts w:ascii="Calibri" w:eastAsia="Calibri" w:hAnsi="Calibri" w:cs="Arial"/>
                <w:bCs/>
              </w:rPr>
              <w:t>The tenancy agreements allow for the additional charging week however due to the wording within the agreements some tenants will be charged over 48 weeks, therefore have five non- charging weeks</w:t>
            </w:r>
            <w:r w:rsidR="00AB7448">
              <w:rPr>
                <w:rFonts w:ascii="Calibri" w:eastAsia="Calibri" w:hAnsi="Calibri" w:cs="Arial"/>
                <w:bCs/>
              </w:rPr>
              <w:t>*</w:t>
            </w:r>
            <w:r>
              <w:rPr>
                <w:rFonts w:ascii="Calibri" w:eastAsia="Calibri" w:hAnsi="Calibri" w:cs="Arial"/>
                <w:bCs/>
              </w:rPr>
              <w:t xml:space="preserve">, whilst some will be charged over 49 weeks, therefore have four non-charging weeks as normal. </w:t>
            </w:r>
          </w:p>
          <w:p w14:paraId="409F119E" w14:textId="77777777" w:rsidR="003C509D" w:rsidRDefault="003C509D" w:rsidP="00246C45">
            <w:pPr>
              <w:pStyle w:val="ListBullet1"/>
              <w:numPr>
                <w:ilvl w:val="0"/>
                <w:numId w:val="0"/>
              </w:numPr>
              <w:rPr>
                <w:rFonts w:ascii="Calibri" w:eastAsia="Calibri" w:hAnsi="Calibri" w:cs="Arial"/>
                <w:bCs/>
              </w:rPr>
            </w:pPr>
          </w:p>
          <w:p w14:paraId="23886568" w14:textId="5F0A6AD9" w:rsidR="003C509D" w:rsidRDefault="003C509D" w:rsidP="00246C45">
            <w:pPr>
              <w:pStyle w:val="ListBullet1"/>
              <w:numPr>
                <w:ilvl w:val="0"/>
                <w:numId w:val="0"/>
              </w:numPr>
              <w:rPr>
                <w:rFonts w:ascii="Calibri" w:eastAsia="Calibri" w:hAnsi="Calibri" w:cs="Arial"/>
                <w:bCs/>
              </w:rPr>
            </w:pPr>
            <w:r>
              <w:rPr>
                <w:rFonts w:ascii="Calibri" w:eastAsia="Calibri" w:hAnsi="Calibri" w:cs="Arial"/>
                <w:bCs/>
              </w:rPr>
              <w:t>The non-charging weeks will be as follows:</w:t>
            </w:r>
          </w:p>
          <w:p w14:paraId="2FD83EEF" w14:textId="77777777" w:rsidR="003C509D" w:rsidRDefault="003C509D" w:rsidP="00246C45">
            <w:pPr>
              <w:pStyle w:val="ListBullet1"/>
              <w:numPr>
                <w:ilvl w:val="0"/>
                <w:numId w:val="0"/>
              </w:numPr>
              <w:rPr>
                <w:rFonts w:ascii="Calibri" w:eastAsia="Calibri" w:hAnsi="Calibri" w:cs="Arial"/>
                <w:bCs/>
              </w:rPr>
            </w:pPr>
          </w:p>
          <w:tbl>
            <w:tblPr>
              <w:tblW w:w="6526" w:type="dxa"/>
              <w:tblLayout w:type="fixed"/>
              <w:tblLook w:val="04A0" w:firstRow="1" w:lastRow="0" w:firstColumn="1" w:lastColumn="0" w:noHBand="0" w:noVBand="1"/>
            </w:tblPr>
            <w:tblGrid>
              <w:gridCol w:w="2983"/>
              <w:gridCol w:w="509"/>
              <w:gridCol w:w="3034"/>
            </w:tblGrid>
            <w:tr w:rsidR="00AB7448" w:rsidRPr="00AB7448" w14:paraId="14CAAE5E" w14:textId="77777777" w:rsidTr="00067946">
              <w:trPr>
                <w:trHeight w:val="316"/>
              </w:trPr>
              <w:tc>
                <w:tcPr>
                  <w:tcW w:w="298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A1698E3" w14:textId="77777777" w:rsidR="00AB7448" w:rsidRPr="00067946" w:rsidRDefault="00AB7448" w:rsidP="00AB7448">
                  <w:pPr>
                    <w:jc w:val="left"/>
                    <w:rPr>
                      <w:rFonts w:ascii="Calibri" w:eastAsia="Times New Roman" w:hAnsi="Calibri" w:cs="Calibri"/>
                      <w:b/>
                      <w:bCs/>
                      <w:color w:val="000000"/>
                      <w:lang w:eastAsia="en-GB"/>
                    </w:rPr>
                  </w:pPr>
                  <w:r w:rsidRPr="00067946">
                    <w:rPr>
                      <w:rFonts w:ascii="Calibri" w:eastAsia="Times New Roman" w:hAnsi="Calibri" w:cs="Calibri"/>
                      <w:b/>
                      <w:bCs/>
                      <w:color w:val="000000"/>
                      <w:lang w:eastAsia="en-GB"/>
                    </w:rPr>
                    <w:t>48 Charging Weeks</w:t>
                  </w:r>
                </w:p>
              </w:tc>
              <w:tc>
                <w:tcPr>
                  <w:tcW w:w="509" w:type="dxa"/>
                  <w:tcBorders>
                    <w:top w:val="single" w:sz="4" w:space="0" w:color="auto"/>
                    <w:left w:val="nil"/>
                    <w:bottom w:val="single" w:sz="4" w:space="0" w:color="auto"/>
                    <w:right w:val="nil"/>
                  </w:tcBorders>
                  <w:shd w:val="clear" w:color="000000" w:fill="D9D9D9"/>
                  <w:noWrap/>
                  <w:vAlign w:val="bottom"/>
                  <w:hideMark/>
                </w:tcPr>
                <w:p w14:paraId="1FF3F69D" w14:textId="4B5B60E9" w:rsidR="00AB7448" w:rsidRPr="00067946" w:rsidRDefault="00AB7448" w:rsidP="00AB7448">
                  <w:pPr>
                    <w:jc w:val="left"/>
                    <w:rPr>
                      <w:rFonts w:ascii="Calibri" w:eastAsia="Times New Roman" w:hAnsi="Calibri" w:cs="Calibri"/>
                      <w:b/>
                      <w:bCs/>
                      <w:color w:val="000000"/>
                      <w:lang w:eastAsia="en-GB"/>
                    </w:rPr>
                  </w:pPr>
                </w:p>
              </w:tc>
              <w:tc>
                <w:tcPr>
                  <w:tcW w:w="30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D4896B6" w14:textId="77777777" w:rsidR="00AB7448" w:rsidRPr="00067946" w:rsidRDefault="00AB7448" w:rsidP="00AB7448">
                  <w:pPr>
                    <w:jc w:val="left"/>
                    <w:rPr>
                      <w:rFonts w:ascii="Calibri" w:eastAsia="Times New Roman" w:hAnsi="Calibri" w:cs="Calibri"/>
                      <w:b/>
                      <w:bCs/>
                      <w:color w:val="000000"/>
                      <w:lang w:eastAsia="en-GB"/>
                    </w:rPr>
                  </w:pPr>
                  <w:r w:rsidRPr="00067946">
                    <w:rPr>
                      <w:rFonts w:ascii="Calibri" w:eastAsia="Times New Roman" w:hAnsi="Calibri" w:cs="Calibri"/>
                      <w:b/>
                      <w:bCs/>
                      <w:color w:val="000000"/>
                      <w:lang w:eastAsia="en-GB"/>
                    </w:rPr>
                    <w:t>49 Charging Weeks</w:t>
                  </w:r>
                </w:p>
              </w:tc>
            </w:tr>
            <w:tr w:rsidR="00AB7448" w:rsidRPr="00AB7448" w14:paraId="029DB4F0" w14:textId="77777777" w:rsidTr="00067946">
              <w:trPr>
                <w:trHeight w:val="316"/>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14:paraId="3E901581" w14:textId="77777777" w:rsidR="00AB7448" w:rsidRPr="00067946" w:rsidRDefault="00AB7448" w:rsidP="00AB7448">
                  <w:pPr>
                    <w:jc w:val="left"/>
                    <w:rPr>
                      <w:rFonts w:ascii="Calibri" w:eastAsia="Times New Roman" w:hAnsi="Calibri" w:cs="Calibri"/>
                      <w:color w:val="000000"/>
                      <w:lang w:eastAsia="en-GB"/>
                    </w:rPr>
                  </w:pPr>
                  <w:r w:rsidRPr="00067946">
                    <w:rPr>
                      <w:rFonts w:ascii="Calibri" w:eastAsia="Times New Roman" w:hAnsi="Calibri" w:cs="Calibri"/>
                      <w:color w:val="000000"/>
                      <w:lang w:eastAsia="en-GB"/>
                    </w:rPr>
                    <w:t>1st April 2024</w:t>
                  </w:r>
                </w:p>
              </w:tc>
              <w:tc>
                <w:tcPr>
                  <w:tcW w:w="509" w:type="dxa"/>
                  <w:tcBorders>
                    <w:top w:val="nil"/>
                    <w:left w:val="nil"/>
                    <w:bottom w:val="single" w:sz="4" w:space="0" w:color="auto"/>
                    <w:right w:val="single" w:sz="4" w:space="0" w:color="auto"/>
                  </w:tcBorders>
                  <w:shd w:val="clear" w:color="auto" w:fill="auto"/>
                  <w:noWrap/>
                  <w:vAlign w:val="bottom"/>
                  <w:hideMark/>
                </w:tcPr>
                <w:p w14:paraId="3895C909" w14:textId="25F3E9A5" w:rsidR="00AB7448" w:rsidRPr="00067946" w:rsidRDefault="00AB7448" w:rsidP="00AB7448">
                  <w:pPr>
                    <w:jc w:val="left"/>
                    <w:rPr>
                      <w:rFonts w:ascii="Calibri" w:eastAsia="Times New Roman" w:hAnsi="Calibri" w:cs="Calibri"/>
                      <w:color w:val="000000"/>
                      <w:lang w:eastAsia="en-GB"/>
                    </w:rPr>
                  </w:pPr>
                </w:p>
              </w:tc>
              <w:tc>
                <w:tcPr>
                  <w:tcW w:w="3034" w:type="dxa"/>
                  <w:tcBorders>
                    <w:top w:val="nil"/>
                    <w:left w:val="nil"/>
                    <w:bottom w:val="single" w:sz="4" w:space="0" w:color="auto"/>
                    <w:right w:val="single" w:sz="4" w:space="0" w:color="auto"/>
                  </w:tcBorders>
                  <w:shd w:val="clear" w:color="auto" w:fill="auto"/>
                  <w:noWrap/>
                  <w:vAlign w:val="bottom"/>
                  <w:hideMark/>
                </w:tcPr>
                <w:p w14:paraId="654E2992" w14:textId="77777777" w:rsidR="00AB7448" w:rsidRPr="00067946" w:rsidRDefault="00AB7448" w:rsidP="00AB7448">
                  <w:pPr>
                    <w:jc w:val="left"/>
                    <w:rPr>
                      <w:rFonts w:ascii="Calibri" w:eastAsia="Times New Roman" w:hAnsi="Calibri" w:cs="Calibri"/>
                      <w:color w:val="000000"/>
                      <w:lang w:eastAsia="en-GB"/>
                    </w:rPr>
                  </w:pPr>
                  <w:r w:rsidRPr="00067946">
                    <w:rPr>
                      <w:rFonts w:ascii="Calibri" w:eastAsia="Times New Roman" w:hAnsi="Calibri" w:cs="Calibri"/>
                      <w:color w:val="000000"/>
                      <w:lang w:eastAsia="en-GB"/>
                    </w:rPr>
                    <w:t>1st April 2024</w:t>
                  </w:r>
                </w:p>
              </w:tc>
            </w:tr>
            <w:tr w:rsidR="00AB7448" w:rsidRPr="00AB7448" w14:paraId="7CF91B51" w14:textId="77777777" w:rsidTr="00067946">
              <w:trPr>
                <w:trHeight w:val="316"/>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14:paraId="77330811" w14:textId="77777777" w:rsidR="00AB7448" w:rsidRPr="00067946" w:rsidRDefault="00AB7448" w:rsidP="00AB7448">
                  <w:pPr>
                    <w:jc w:val="left"/>
                    <w:rPr>
                      <w:rFonts w:ascii="Calibri" w:eastAsia="Times New Roman" w:hAnsi="Calibri" w:cs="Calibri"/>
                      <w:color w:val="000000"/>
                      <w:lang w:eastAsia="en-GB"/>
                    </w:rPr>
                  </w:pPr>
                  <w:r w:rsidRPr="00067946">
                    <w:rPr>
                      <w:rFonts w:ascii="Calibri" w:eastAsia="Times New Roman" w:hAnsi="Calibri" w:cs="Calibri"/>
                      <w:color w:val="000000"/>
                      <w:lang w:eastAsia="en-GB"/>
                    </w:rPr>
                    <w:t>23rd December 2024</w:t>
                  </w:r>
                </w:p>
              </w:tc>
              <w:tc>
                <w:tcPr>
                  <w:tcW w:w="509" w:type="dxa"/>
                  <w:tcBorders>
                    <w:top w:val="nil"/>
                    <w:left w:val="nil"/>
                    <w:bottom w:val="single" w:sz="4" w:space="0" w:color="auto"/>
                    <w:right w:val="single" w:sz="4" w:space="0" w:color="auto"/>
                  </w:tcBorders>
                  <w:shd w:val="clear" w:color="auto" w:fill="auto"/>
                  <w:noWrap/>
                  <w:vAlign w:val="bottom"/>
                  <w:hideMark/>
                </w:tcPr>
                <w:p w14:paraId="7BC96CCF" w14:textId="429E9FDC" w:rsidR="00AB7448" w:rsidRPr="00067946" w:rsidRDefault="00AB7448" w:rsidP="00AB7448">
                  <w:pPr>
                    <w:jc w:val="left"/>
                    <w:rPr>
                      <w:rFonts w:ascii="Calibri" w:eastAsia="Times New Roman" w:hAnsi="Calibri" w:cs="Calibri"/>
                      <w:color w:val="000000"/>
                      <w:lang w:eastAsia="en-GB"/>
                    </w:rPr>
                  </w:pPr>
                </w:p>
              </w:tc>
              <w:tc>
                <w:tcPr>
                  <w:tcW w:w="3034" w:type="dxa"/>
                  <w:tcBorders>
                    <w:top w:val="nil"/>
                    <w:left w:val="nil"/>
                    <w:bottom w:val="single" w:sz="4" w:space="0" w:color="auto"/>
                    <w:right w:val="single" w:sz="4" w:space="0" w:color="auto"/>
                  </w:tcBorders>
                  <w:shd w:val="clear" w:color="auto" w:fill="auto"/>
                  <w:noWrap/>
                  <w:vAlign w:val="bottom"/>
                  <w:hideMark/>
                </w:tcPr>
                <w:p w14:paraId="7960430C" w14:textId="77777777" w:rsidR="00AB7448" w:rsidRPr="00067946" w:rsidRDefault="00AB7448" w:rsidP="00AB7448">
                  <w:pPr>
                    <w:jc w:val="left"/>
                    <w:rPr>
                      <w:rFonts w:ascii="Calibri" w:eastAsia="Times New Roman" w:hAnsi="Calibri" w:cs="Calibri"/>
                      <w:color w:val="000000"/>
                      <w:lang w:eastAsia="en-GB"/>
                    </w:rPr>
                  </w:pPr>
                  <w:r w:rsidRPr="00067946">
                    <w:rPr>
                      <w:rFonts w:ascii="Calibri" w:eastAsia="Times New Roman" w:hAnsi="Calibri" w:cs="Calibri"/>
                      <w:color w:val="000000"/>
                      <w:lang w:eastAsia="en-GB"/>
                    </w:rPr>
                    <w:t>23rd December 2024</w:t>
                  </w:r>
                </w:p>
              </w:tc>
            </w:tr>
            <w:tr w:rsidR="00AB7448" w:rsidRPr="00AB7448" w14:paraId="378256A3" w14:textId="77777777" w:rsidTr="00067946">
              <w:trPr>
                <w:trHeight w:val="316"/>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14:paraId="7B99EB48" w14:textId="77777777" w:rsidR="00AB7448" w:rsidRPr="00067946" w:rsidRDefault="00AB7448" w:rsidP="00AB7448">
                  <w:pPr>
                    <w:jc w:val="left"/>
                    <w:rPr>
                      <w:rFonts w:ascii="Calibri" w:eastAsia="Times New Roman" w:hAnsi="Calibri" w:cs="Calibri"/>
                      <w:color w:val="000000"/>
                      <w:lang w:eastAsia="en-GB"/>
                    </w:rPr>
                  </w:pPr>
                  <w:r w:rsidRPr="00067946">
                    <w:rPr>
                      <w:rFonts w:ascii="Calibri" w:eastAsia="Times New Roman" w:hAnsi="Calibri" w:cs="Calibri"/>
                      <w:color w:val="000000"/>
                      <w:lang w:eastAsia="en-GB"/>
                    </w:rPr>
                    <w:t>30th December 2024</w:t>
                  </w:r>
                </w:p>
              </w:tc>
              <w:tc>
                <w:tcPr>
                  <w:tcW w:w="509" w:type="dxa"/>
                  <w:tcBorders>
                    <w:top w:val="nil"/>
                    <w:left w:val="nil"/>
                    <w:bottom w:val="single" w:sz="4" w:space="0" w:color="auto"/>
                    <w:right w:val="single" w:sz="4" w:space="0" w:color="auto"/>
                  </w:tcBorders>
                  <w:shd w:val="clear" w:color="auto" w:fill="auto"/>
                  <w:noWrap/>
                  <w:vAlign w:val="bottom"/>
                  <w:hideMark/>
                </w:tcPr>
                <w:p w14:paraId="5AE428E8" w14:textId="24F22B0A" w:rsidR="00AB7448" w:rsidRPr="00067946" w:rsidRDefault="00AB7448" w:rsidP="00AB7448">
                  <w:pPr>
                    <w:jc w:val="left"/>
                    <w:rPr>
                      <w:rFonts w:ascii="Calibri" w:eastAsia="Times New Roman" w:hAnsi="Calibri" w:cs="Calibri"/>
                      <w:color w:val="000000"/>
                      <w:lang w:eastAsia="en-GB"/>
                    </w:rPr>
                  </w:pPr>
                </w:p>
              </w:tc>
              <w:tc>
                <w:tcPr>
                  <w:tcW w:w="3034" w:type="dxa"/>
                  <w:tcBorders>
                    <w:top w:val="nil"/>
                    <w:left w:val="nil"/>
                    <w:bottom w:val="single" w:sz="4" w:space="0" w:color="auto"/>
                    <w:right w:val="single" w:sz="4" w:space="0" w:color="auto"/>
                  </w:tcBorders>
                  <w:shd w:val="clear" w:color="auto" w:fill="auto"/>
                  <w:noWrap/>
                  <w:vAlign w:val="bottom"/>
                  <w:hideMark/>
                </w:tcPr>
                <w:p w14:paraId="7E0240F1" w14:textId="77777777" w:rsidR="00AB7448" w:rsidRPr="00067946" w:rsidRDefault="00AB7448" w:rsidP="00AB7448">
                  <w:pPr>
                    <w:jc w:val="left"/>
                    <w:rPr>
                      <w:rFonts w:ascii="Calibri" w:eastAsia="Times New Roman" w:hAnsi="Calibri" w:cs="Calibri"/>
                      <w:color w:val="000000"/>
                      <w:lang w:eastAsia="en-GB"/>
                    </w:rPr>
                  </w:pPr>
                  <w:r w:rsidRPr="00067946">
                    <w:rPr>
                      <w:rFonts w:ascii="Calibri" w:eastAsia="Times New Roman" w:hAnsi="Calibri" w:cs="Calibri"/>
                      <w:color w:val="000000"/>
                      <w:lang w:eastAsia="en-GB"/>
                    </w:rPr>
                    <w:t>30th December 2024</w:t>
                  </w:r>
                </w:p>
              </w:tc>
            </w:tr>
            <w:tr w:rsidR="00AB7448" w:rsidRPr="00AB7448" w14:paraId="206B9449" w14:textId="77777777" w:rsidTr="00067946">
              <w:trPr>
                <w:trHeight w:val="316"/>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14:paraId="1E427313" w14:textId="77777777" w:rsidR="00AB7448" w:rsidRPr="00067946" w:rsidRDefault="00AB7448" w:rsidP="00AB7448">
                  <w:pPr>
                    <w:jc w:val="left"/>
                    <w:rPr>
                      <w:rFonts w:ascii="Calibri" w:eastAsia="Times New Roman" w:hAnsi="Calibri" w:cs="Calibri"/>
                      <w:color w:val="000000"/>
                      <w:lang w:eastAsia="en-GB"/>
                    </w:rPr>
                  </w:pPr>
                  <w:r w:rsidRPr="00067946">
                    <w:rPr>
                      <w:rFonts w:ascii="Calibri" w:eastAsia="Times New Roman" w:hAnsi="Calibri" w:cs="Calibri"/>
                      <w:color w:val="000000"/>
                      <w:lang w:eastAsia="en-GB"/>
                    </w:rPr>
                    <w:t>24th March 2025</w:t>
                  </w:r>
                </w:p>
              </w:tc>
              <w:tc>
                <w:tcPr>
                  <w:tcW w:w="509" w:type="dxa"/>
                  <w:tcBorders>
                    <w:top w:val="nil"/>
                    <w:left w:val="nil"/>
                    <w:bottom w:val="single" w:sz="4" w:space="0" w:color="auto"/>
                    <w:right w:val="single" w:sz="4" w:space="0" w:color="auto"/>
                  </w:tcBorders>
                  <w:shd w:val="clear" w:color="auto" w:fill="auto"/>
                  <w:noWrap/>
                  <w:vAlign w:val="bottom"/>
                  <w:hideMark/>
                </w:tcPr>
                <w:p w14:paraId="76455ACB" w14:textId="5A52734D" w:rsidR="00AB7448" w:rsidRPr="00067946" w:rsidRDefault="00AB7448" w:rsidP="00AB7448">
                  <w:pPr>
                    <w:jc w:val="left"/>
                    <w:rPr>
                      <w:rFonts w:ascii="Calibri" w:eastAsia="Times New Roman" w:hAnsi="Calibri" w:cs="Calibri"/>
                      <w:color w:val="000000"/>
                      <w:lang w:eastAsia="en-GB"/>
                    </w:rPr>
                  </w:pPr>
                </w:p>
              </w:tc>
              <w:tc>
                <w:tcPr>
                  <w:tcW w:w="3034" w:type="dxa"/>
                  <w:tcBorders>
                    <w:top w:val="nil"/>
                    <w:left w:val="nil"/>
                    <w:bottom w:val="single" w:sz="4" w:space="0" w:color="auto"/>
                    <w:right w:val="single" w:sz="4" w:space="0" w:color="auto"/>
                  </w:tcBorders>
                  <w:shd w:val="clear" w:color="auto" w:fill="auto"/>
                  <w:noWrap/>
                  <w:vAlign w:val="bottom"/>
                  <w:hideMark/>
                </w:tcPr>
                <w:p w14:paraId="5DB9151B" w14:textId="77777777" w:rsidR="00AB7448" w:rsidRPr="00067946" w:rsidRDefault="00AB7448" w:rsidP="00AB7448">
                  <w:pPr>
                    <w:jc w:val="left"/>
                    <w:rPr>
                      <w:rFonts w:ascii="Calibri" w:eastAsia="Times New Roman" w:hAnsi="Calibri" w:cs="Calibri"/>
                      <w:color w:val="000000"/>
                      <w:lang w:eastAsia="en-GB"/>
                    </w:rPr>
                  </w:pPr>
                  <w:r w:rsidRPr="00067946">
                    <w:rPr>
                      <w:rFonts w:ascii="Calibri" w:eastAsia="Times New Roman" w:hAnsi="Calibri" w:cs="Calibri"/>
                      <w:color w:val="000000"/>
                      <w:lang w:eastAsia="en-GB"/>
                    </w:rPr>
                    <w:t>31st March 2025</w:t>
                  </w:r>
                </w:p>
              </w:tc>
            </w:tr>
            <w:tr w:rsidR="00AB7448" w:rsidRPr="00AB7448" w14:paraId="49632361" w14:textId="77777777" w:rsidTr="00067946">
              <w:trPr>
                <w:trHeight w:val="316"/>
              </w:trPr>
              <w:tc>
                <w:tcPr>
                  <w:tcW w:w="2983" w:type="dxa"/>
                  <w:tcBorders>
                    <w:top w:val="nil"/>
                    <w:left w:val="single" w:sz="4" w:space="0" w:color="auto"/>
                    <w:bottom w:val="single" w:sz="4" w:space="0" w:color="auto"/>
                    <w:right w:val="single" w:sz="4" w:space="0" w:color="auto"/>
                  </w:tcBorders>
                  <w:shd w:val="clear" w:color="auto" w:fill="auto"/>
                  <w:noWrap/>
                  <w:vAlign w:val="bottom"/>
                  <w:hideMark/>
                </w:tcPr>
                <w:p w14:paraId="5A248870" w14:textId="77777777" w:rsidR="00AB7448" w:rsidRPr="00067946" w:rsidRDefault="00AB7448" w:rsidP="00AB7448">
                  <w:pPr>
                    <w:jc w:val="left"/>
                    <w:rPr>
                      <w:rFonts w:ascii="Calibri" w:eastAsia="Times New Roman" w:hAnsi="Calibri" w:cs="Calibri"/>
                      <w:color w:val="000000"/>
                      <w:lang w:eastAsia="en-GB"/>
                    </w:rPr>
                  </w:pPr>
                  <w:r w:rsidRPr="00067946">
                    <w:rPr>
                      <w:rFonts w:ascii="Calibri" w:eastAsia="Times New Roman" w:hAnsi="Calibri" w:cs="Calibri"/>
                      <w:color w:val="000000"/>
                      <w:lang w:eastAsia="en-GB"/>
                    </w:rPr>
                    <w:t>31st March 2025</w:t>
                  </w:r>
                </w:p>
              </w:tc>
              <w:tc>
                <w:tcPr>
                  <w:tcW w:w="509" w:type="dxa"/>
                  <w:tcBorders>
                    <w:top w:val="nil"/>
                    <w:left w:val="nil"/>
                    <w:bottom w:val="single" w:sz="4" w:space="0" w:color="auto"/>
                    <w:right w:val="single" w:sz="4" w:space="0" w:color="auto"/>
                  </w:tcBorders>
                  <w:shd w:val="clear" w:color="auto" w:fill="auto"/>
                  <w:noWrap/>
                  <w:vAlign w:val="bottom"/>
                  <w:hideMark/>
                </w:tcPr>
                <w:p w14:paraId="46931B4F" w14:textId="5B416022" w:rsidR="00AB7448" w:rsidRPr="00067946" w:rsidRDefault="00AB7448" w:rsidP="00AB7448">
                  <w:pPr>
                    <w:jc w:val="left"/>
                    <w:rPr>
                      <w:rFonts w:ascii="Calibri" w:eastAsia="Times New Roman" w:hAnsi="Calibri" w:cs="Calibri"/>
                      <w:color w:val="000000"/>
                      <w:lang w:eastAsia="en-GB"/>
                    </w:rPr>
                  </w:pPr>
                </w:p>
              </w:tc>
              <w:tc>
                <w:tcPr>
                  <w:tcW w:w="3034" w:type="dxa"/>
                  <w:tcBorders>
                    <w:top w:val="nil"/>
                    <w:left w:val="nil"/>
                    <w:bottom w:val="single" w:sz="4" w:space="0" w:color="auto"/>
                    <w:right w:val="single" w:sz="4" w:space="0" w:color="auto"/>
                  </w:tcBorders>
                  <w:shd w:val="clear" w:color="auto" w:fill="auto"/>
                  <w:noWrap/>
                  <w:vAlign w:val="bottom"/>
                  <w:hideMark/>
                </w:tcPr>
                <w:p w14:paraId="148B91C0" w14:textId="236D26F5" w:rsidR="00AB7448" w:rsidRPr="00067946" w:rsidRDefault="00AB7448" w:rsidP="00AB7448">
                  <w:pPr>
                    <w:jc w:val="left"/>
                    <w:rPr>
                      <w:rFonts w:ascii="Calibri" w:eastAsia="Times New Roman" w:hAnsi="Calibri" w:cs="Calibri"/>
                      <w:color w:val="000000"/>
                      <w:lang w:eastAsia="en-GB"/>
                    </w:rPr>
                  </w:pPr>
                </w:p>
              </w:tc>
            </w:tr>
          </w:tbl>
          <w:p w14:paraId="43665825" w14:textId="77777777" w:rsidR="003C509D" w:rsidRDefault="003C509D" w:rsidP="00246C45">
            <w:pPr>
              <w:pStyle w:val="ListBullet1"/>
              <w:numPr>
                <w:ilvl w:val="0"/>
                <w:numId w:val="0"/>
              </w:numPr>
              <w:rPr>
                <w:rFonts w:ascii="Calibri" w:eastAsia="Calibri" w:hAnsi="Calibri" w:cs="Arial"/>
                <w:bCs/>
              </w:rPr>
            </w:pPr>
          </w:p>
          <w:p w14:paraId="08DA93B9" w14:textId="6AFA006E" w:rsidR="003C509D" w:rsidRPr="00E958F6" w:rsidRDefault="003C509D" w:rsidP="00246C45">
            <w:pPr>
              <w:pStyle w:val="ListBullet1"/>
              <w:numPr>
                <w:ilvl w:val="0"/>
                <w:numId w:val="0"/>
              </w:numPr>
            </w:pPr>
            <w:r>
              <w:t>*</w:t>
            </w:r>
            <w:r w:rsidRPr="00067946">
              <w:t xml:space="preserve">The rent that would be payable in that fifth non-charging week is spread over the 48 weeks, which is why the rent </w:t>
            </w:r>
            <w:r>
              <w:t>will appear higher than CPI+1% in those</w:t>
            </w:r>
            <w:r w:rsidRPr="00067946">
              <w:t xml:space="preserve"> weeks.</w:t>
            </w:r>
          </w:p>
        </w:tc>
      </w:tr>
      <w:tr w:rsidR="00246C45" w:rsidRPr="007D0DCD" w14:paraId="3A7E5C94" w14:textId="77777777" w:rsidTr="6006DEEF">
        <w:tc>
          <w:tcPr>
            <w:tcW w:w="817" w:type="dxa"/>
            <w:tcBorders>
              <w:top w:val="nil"/>
              <w:left w:val="nil"/>
              <w:bottom w:val="nil"/>
              <w:right w:val="nil"/>
            </w:tcBorders>
          </w:tcPr>
          <w:p w14:paraId="24051C14" w14:textId="77777777" w:rsidR="00246C45" w:rsidRPr="003C1B99" w:rsidRDefault="00246C45" w:rsidP="00246C45">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312FCEF" w14:textId="77777777" w:rsidR="00246C45" w:rsidRPr="00CC18FE" w:rsidRDefault="00246C45" w:rsidP="00246C45">
            <w:pPr>
              <w:pStyle w:val="ListBullet1"/>
              <w:numPr>
                <w:ilvl w:val="0"/>
                <w:numId w:val="0"/>
              </w:numPr>
              <w:rPr>
                <w:rFonts w:ascii="Calibri" w:hAnsi="Calibri"/>
                <w:lang w:eastAsia="en-GB"/>
              </w:rPr>
            </w:pPr>
          </w:p>
        </w:tc>
      </w:tr>
      <w:tr w:rsidR="00246C45" w:rsidRPr="007D0DCD" w14:paraId="4CB34A52" w14:textId="77777777" w:rsidTr="6006DEEF">
        <w:tc>
          <w:tcPr>
            <w:tcW w:w="817" w:type="dxa"/>
            <w:tcBorders>
              <w:top w:val="nil"/>
              <w:left w:val="nil"/>
              <w:bottom w:val="nil"/>
              <w:right w:val="nil"/>
            </w:tcBorders>
          </w:tcPr>
          <w:p w14:paraId="3EAAA708" w14:textId="77777777" w:rsidR="00246C45" w:rsidRPr="003C1B99"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498DBD34" w14:textId="77777777" w:rsidR="00246C45" w:rsidRDefault="00246C45" w:rsidP="00246C45">
            <w:pPr>
              <w:rPr>
                <w:rFonts w:ascii="Calibri" w:eastAsia="Times New Roman" w:hAnsi="Calibri" w:cs="Helvetica"/>
                <w:szCs w:val="23"/>
                <w:lang w:eastAsia="en-GB"/>
              </w:rPr>
            </w:pPr>
            <w:r>
              <w:rPr>
                <w:rFonts w:ascii="Calibri" w:eastAsia="Times New Roman" w:hAnsi="Calibri" w:cs="Helvetica"/>
                <w:szCs w:val="23"/>
                <w:lang w:eastAsia="en-GB"/>
              </w:rPr>
              <w:t xml:space="preserve">Where the Trust develop new build properties for affordable rent and on completion of schemes, RICS Red Book valuations to confirm the market rent will be obtained. </w:t>
            </w:r>
          </w:p>
          <w:p w14:paraId="5DA054C5" w14:textId="77777777" w:rsidR="00246C45" w:rsidRDefault="00246C45" w:rsidP="00246C45">
            <w:pPr>
              <w:rPr>
                <w:rFonts w:ascii="Calibri" w:eastAsia="Times New Roman" w:hAnsi="Calibri" w:cs="Helvetica"/>
                <w:szCs w:val="23"/>
                <w:lang w:eastAsia="en-GB"/>
              </w:rPr>
            </w:pPr>
          </w:p>
          <w:p w14:paraId="33D6A637" w14:textId="6AE10472" w:rsidR="00246C45" w:rsidRPr="00CC18FE" w:rsidRDefault="00246C45" w:rsidP="00246C45">
            <w:pPr>
              <w:pStyle w:val="ListBullet1"/>
              <w:numPr>
                <w:ilvl w:val="0"/>
                <w:numId w:val="0"/>
              </w:numPr>
              <w:rPr>
                <w:rFonts w:ascii="Calibri" w:hAnsi="Calibri"/>
                <w:lang w:eastAsia="en-GB"/>
              </w:rPr>
            </w:pPr>
            <w:r>
              <w:rPr>
                <w:rFonts w:ascii="Calibri" w:eastAsia="Times New Roman" w:hAnsi="Calibri" w:cs="Helvetica"/>
                <w:szCs w:val="23"/>
                <w:lang w:eastAsia="en-GB"/>
              </w:rPr>
              <w:t>Where rents are set at affordable rent (80% of market rent) for new build properties they will remain on this basis for all future tenancies.</w:t>
            </w:r>
          </w:p>
        </w:tc>
      </w:tr>
      <w:tr w:rsidR="00246C45" w:rsidRPr="007D0DCD" w14:paraId="06E94E4A" w14:textId="77777777" w:rsidTr="6006DEEF">
        <w:tc>
          <w:tcPr>
            <w:tcW w:w="817" w:type="dxa"/>
            <w:tcBorders>
              <w:top w:val="nil"/>
              <w:left w:val="nil"/>
              <w:bottom w:val="nil"/>
              <w:right w:val="nil"/>
            </w:tcBorders>
          </w:tcPr>
          <w:p w14:paraId="15370A6D" w14:textId="77777777" w:rsidR="00246C45" w:rsidRPr="003C1B99" w:rsidRDefault="00246C45" w:rsidP="00246C45">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7B97BAE1" w14:textId="77777777" w:rsidR="00246C45" w:rsidRPr="00CC18FE" w:rsidRDefault="00246C45" w:rsidP="00246C45">
            <w:pPr>
              <w:pStyle w:val="ListBullet1"/>
              <w:numPr>
                <w:ilvl w:val="0"/>
                <w:numId w:val="0"/>
              </w:numPr>
              <w:rPr>
                <w:rFonts w:ascii="Calibri" w:hAnsi="Calibri"/>
                <w:lang w:eastAsia="en-GB"/>
              </w:rPr>
            </w:pPr>
          </w:p>
        </w:tc>
      </w:tr>
      <w:tr w:rsidR="00246C45" w:rsidRPr="007D0DCD" w14:paraId="06C57AD2" w14:textId="77777777" w:rsidTr="6006DEEF">
        <w:tc>
          <w:tcPr>
            <w:tcW w:w="817" w:type="dxa"/>
            <w:tcBorders>
              <w:top w:val="nil"/>
              <w:left w:val="nil"/>
              <w:bottom w:val="nil"/>
              <w:right w:val="nil"/>
            </w:tcBorders>
          </w:tcPr>
          <w:p w14:paraId="77096AD0" w14:textId="77777777" w:rsidR="00246C45" w:rsidRPr="003C1B99" w:rsidRDefault="00246C45" w:rsidP="00246C45">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3F53A3F3" w14:textId="323DF5E9" w:rsidR="00246C45" w:rsidRPr="00CC18FE" w:rsidRDefault="00246C45" w:rsidP="00246C45">
            <w:pPr>
              <w:rPr>
                <w:rFonts w:ascii="Calibri" w:hAnsi="Calibri"/>
              </w:rPr>
            </w:pPr>
            <w:r>
              <w:rPr>
                <w:rFonts w:ascii="Calibri" w:hAnsi="Calibri"/>
                <w:b/>
              </w:rPr>
              <w:t>Service Charges</w:t>
            </w:r>
          </w:p>
        </w:tc>
      </w:tr>
      <w:tr w:rsidR="00246C45" w:rsidRPr="007D0DCD" w14:paraId="14C0D261" w14:textId="77777777" w:rsidTr="6006DEEF">
        <w:tc>
          <w:tcPr>
            <w:tcW w:w="817" w:type="dxa"/>
            <w:tcBorders>
              <w:top w:val="nil"/>
              <w:left w:val="nil"/>
              <w:bottom w:val="nil"/>
              <w:right w:val="nil"/>
            </w:tcBorders>
          </w:tcPr>
          <w:p w14:paraId="61058016" w14:textId="77777777" w:rsidR="00246C45" w:rsidRPr="003C1B99" w:rsidRDefault="00246C45" w:rsidP="00246C45">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2B0FB5DE" w14:textId="77777777" w:rsidR="00246C45" w:rsidRPr="00CC18FE" w:rsidRDefault="00246C45" w:rsidP="00246C45">
            <w:pPr>
              <w:pStyle w:val="ListBullet1"/>
              <w:numPr>
                <w:ilvl w:val="0"/>
                <w:numId w:val="0"/>
              </w:numPr>
              <w:rPr>
                <w:rFonts w:ascii="Calibri" w:hAnsi="Calibri"/>
                <w:lang w:eastAsia="en-GB"/>
              </w:rPr>
            </w:pPr>
          </w:p>
        </w:tc>
      </w:tr>
      <w:tr w:rsidR="00246C45" w:rsidRPr="007D0DCD" w14:paraId="3B676D8F" w14:textId="77777777" w:rsidTr="6006DEEF">
        <w:tc>
          <w:tcPr>
            <w:tcW w:w="817" w:type="dxa"/>
            <w:tcBorders>
              <w:top w:val="nil"/>
              <w:left w:val="nil"/>
              <w:bottom w:val="nil"/>
              <w:right w:val="nil"/>
            </w:tcBorders>
          </w:tcPr>
          <w:p w14:paraId="445386B7" w14:textId="77777777" w:rsidR="00246C45" w:rsidRPr="003C1B99" w:rsidRDefault="00246C45" w:rsidP="00246C45">
            <w:pPr>
              <w:pStyle w:val="ListParagraph"/>
              <w:numPr>
                <w:ilvl w:val="2"/>
                <w:numId w:val="5"/>
              </w:numPr>
              <w:rPr>
                <w:rFonts w:eastAsia="Times New Roman" w:cs="Arial"/>
                <w:b w:val="0"/>
                <w:color w:val="auto"/>
                <w:szCs w:val="20"/>
                <w:lang w:eastAsia="en-GB"/>
              </w:rPr>
            </w:pPr>
          </w:p>
        </w:tc>
        <w:tc>
          <w:tcPr>
            <w:tcW w:w="8816" w:type="dxa"/>
            <w:tcBorders>
              <w:top w:val="nil"/>
              <w:left w:val="nil"/>
              <w:bottom w:val="nil"/>
              <w:right w:val="nil"/>
            </w:tcBorders>
          </w:tcPr>
          <w:p w14:paraId="5363EC27" w14:textId="043A9449" w:rsidR="00246C45" w:rsidRPr="00CC18FE" w:rsidRDefault="00246C45" w:rsidP="00246C45">
            <w:pPr>
              <w:pStyle w:val="ListBullet1"/>
              <w:numPr>
                <w:ilvl w:val="0"/>
                <w:numId w:val="0"/>
              </w:numPr>
              <w:rPr>
                <w:rFonts w:ascii="Calibri" w:hAnsi="Calibri"/>
                <w:lang w:eastAsia="en-GB"/>
              </w:rPr>
            </w:pPr>
            <w:r w:rsidRPr="009056D6">
              <w:rPr>
                <w:rFonts w:ascii="Calibri" w:hAnsi="Calibri"/>
              </w:rPr>
              <w:t xml:space="preserve">The Trust is committed to providing effective quality services that are affordable within the income generated, ensuring at all times that it remains cost effective and viable in its provision of services. Prior to and </w:t>
            </w:r>
            <w:r>
              <w:rPr>
                <w:rFonts w:ascii="Calibri" w:hAnsi="Calibri"/>
              </w:rPr>
              <w:t>up to 1</w:t>
            </w:r>
            <w:r w:rsidRPr="00E54EB4">
              <w:rPr>
                <w:rFonts w:ascii="Calibri" w:hAnsi="Calibri"/>
                <w:vertAlign w:val="superscript"/>
              </w:rPr>
              <w:t>st</w:t>
            </w:r>
            <w:r>
              <w:rPr>
                <w:rFonts w:ascii="Calibri" w:hAnsi="Calibri"/>
              </w:rPr>
              <w:t xml:space="preserve"> September 2011</w:t>
            </w:r>
            <w:r w:rsidRPr="009056D6">
              <w:rPr>
                <w:rFonts w:ascii="Calibri" w:hAnsi="Calibri"/>
              </w:rPr>
              <w:t>, rent has been charged which includes an element for services provided. This type of service charge is "fixed" and "pooled" across the whole stock.</w:t>
            </w:r>
            <w:r>
              <w:rPr>
                <w:rFonts w:ascii="Calibri" w:hAnsi="Calibri"/>
              </w:rPr>
              <w:t xml:space="preserve"> All new social rent tenancies since 1</w:t>
            </w:r>
            <w:r w:rsidRPr="00E54EB4">
              <w:rPr>
                <w:rFonts w:ascii="Calibri" w:hAnsi="Calibri"/>
                <w:vertAlign w:val="superscript"/>
              </w:rPr>
              <w:t>st</w:t>
            </w:r>
            <w:r>
              <w:rPr>
                <w:rFonts w:ascii="Calibri" w:hAnsi="Calibri"/>
              </w:rPr>
              <w:t xml:space="preserve"> September 2011</w:t>
            </w:r>
            <w:r w:rsidRPr="009056D6">
              <w:rPr>
                <w:rFonts w:ascii="Calibri" w:hAnsi="Calibri"/>
              </w:rPr>
              <w:t xml:space="preserve"> are charged for the services relevant to the property and services received. These will be charged </w:t>
            </w:r>
            <w:r>
              <w:rPr>
                <w:rFonts w:ascii="Calibri" w:hAnsi="Calibri"/>
              </w:rPr>
              <w:t>in accordance with the tenancy agreement in place.</w:t>
            </w:r>
          </w:p>
        </w:tc>
      </w:tr>
      <w:tr w:rsidR="00246C45" w:rsidRPr="007D0DCD" w14:paraId="1272353D" w14:textId="77777777" w:rsidTr="6006DEEF">
        <w:tc>
          <w:tcPr>
            <w:tcW w:w="817" w:type="dxa"/>
            <w:tcBorders>
              <w:top w:val="nil"/>
              <w:left w:val="nil"/>
              <w:bottom w:val="nil"/>
              <w:right w:val="nil"/>
            </w:tcBorders>
          </w:tcPr>
          <w:p w14:paraId="6BCAF92B" w14:textId="77777777" w:rsidR="00246C45" w:rsidRPr="003C1B99" w:rsidRDefault="00246C45" w:rsidP="00246C45">
            <w:pPr>
              <w:pStyle w:val="ListParagraph"/>
              <w:ind w:left="0"/>
              <w:rPr>
                <w:rFonts w:eastAsia="Times New Roman" w:cs="Arial"/>
                <w:b w:val="0"/>
                <w:color w:val="auto"/>
                <w:szCs w:val="20"/>
                <w:lang w:eastAsia="en-GB"/>
              </w:rPr>
            </w:pPr>
          </w:p>
        </w:tc>
        <w:tc>
          <w:tcPr>
            <w:tcW w:w="8816" w:type="dxa"/>
            <w:tcBorders>
              <w:top w:val="nil"/>
              <w:left w:val="nil"/>
              <w:bottom w:val="nil"/>
              <w:right w:val="nil"/>
            </w:tcBorders>
          </w:tcPr>
          <w:p w14:paraId="64C5C70D" w14:textId="77777777" w:rsidR="00246C45" w:rsidRPr="00CC18FE" w:rsidRDefault="00246C45" w:rsidP="00246C45">
            <w:pPr>
              <w:pStyle w:val="ListBullet1"/>
              <w:numPr>
                <w:ilvl w:val="0"/>
                <w:numId w:val="0"/>
              </w:numPr>
              <w:rPr>
                <w:rFonts w:ascii="Calibri" w:hAnsi="Calibri"/>
                <w:lang w:eastAsia="en-GB"/>
              </w:rPr>
            </w:pPr>
          </w:p>
        </w:tc>
      </w:tr>
      <w:tr w:rsidR="00246C45" w:rsidRPr="007D0DCD" w14:paraId="7C9DB533" w14:textId="77777777" w:rsidTr="6006DEEF">
        <w:tc>
          <w:tcPr>
            <w:tcW w:w="817" w:type="dxa"/>
            <w:tcBorders>
              <w:top w:val="nil"/>
              <w:left w:val="nil"/>
              <w:bottom w:val="nil"/>
              <w:right w:val="nil"/>
            </w:tcBorders>
          </w:tcPr>
          <w:p w14:paraId="36BB5E63" w14:textId="77777777" w:rsidR="00246C45" w:rsidRPr="003C1B99" w:rsidRDefault="00246C45" w:rsidP="00246C45">
            <w:pPr>
              <w:pStyle w:val="ListParagraph"/>
              <w:numPr>
                <w:ilvl w:val="1"/>
                <w:numId w:val="5"/>
              </w:numPr>
              <w:rPr>
                <w:rFonts w:eastAsia="Times New Roman" w:cs="Arial"/>
                <w:b w:val="0"/>
                <w:color w:val="auto"/>
                <w:szCs w:val="20"/>
                <w:lang w:eastAsia="en-GB"/>
              </w:rPr>
            </w:pPr>
          </w:p>
        </w:tc>
        <w:tc>
          <w:tcPr>
            <w:tcW w:w="8816" w:type="dxa"/>
            <w:tcBorders>
              <w:top w:val="nil"/>
              <w:left w:val="nil"/>
              <w:bottom w:val="nil"/>
              <w:right w:val="nil"/>
            </w:tcBorders>
          </w:tcPr>
          <w:p w14:paraId="5F1316AA" w14:textId="77777777" w:rsidR="00246C45" w:rsidRPr="00DC668B" w:rsidRDefault="00246C45" w:rsidP="00246C45">
            <w:pPr>
              <w:rPr>
                <w:rFonts w:eastAsia="Times New Roman" w:cs="Arial"/>
                <w:szCs w:val="20"/>
                <w:lang w:eastAsia="en-GB"/>
              </w:rPr>
            </w:pPr>
            <w:r w:rsidRPr="00DC668B">
              <w:rPr>
                <w:rFonts w:eastAsia="Times New Roman" w:cs="Arial"/>
                <w:szCs w:val="20"/>
                <w:lang w:eastAsia="en-GB"/>
              </w:rPr>
              <w:t>This policy s</w:t>
            </w:r>
            <w:r>
              <w:rPr>
                <w:rFonts w:eastAsia="Times New Roman" w:cs="Arial"/>
                <w:szCs w:val="20"/>
                <w:lang w:eastAsia="en-GB"/>
              </w:rPr>
              <w:t>upports our Corporate Objective</w:t>
            </w:r>
            <w:r w:rsidRPr="00DC668B">
              <w:rPr>
                <w:rFonts w:eastAsia="Times New Roman" w:cs="Arial"/>
                <w:szCs w:val="20"/>
                <w:lang w:eastAsia="en-GB"/>
              </w:rPr>
              <w:t xml:space="preserve"> of: </w:t>
            </w:r>
          </w:p>
          <w:p w14:paraId="4D20C120" w14:textId="7A597170" w:rsidR="00246C45" w:rsidRPr="00536728" w:rsidRDefault="00246C45" w:rsidP="00246C45">
            <w:pPr>
              <w:pStyle w:val="ListParagraph"/>
              <w:numPr>
                <w:ilvl w:val="0"/>
                <w:numId w:val="26"/>
              </w:numPr>
              <w:rPr>
                <w:b w:val="0"/>
                <w:bCs/>
              </w:rPr>
            </w:pPr>
            <w:r w:rsidRPr="00536728">
              <w:rPr>
                <w:b w:val="0"/>
                <w:bCs/>
                <w:color w:val="auto"/>
                <w:lang w:eastAsia="en-GB"/>
              </w:rPr>
              <w:t>To be a great landlord</w:t>
            </w:r>
          </w:p>
        </w:tc>
      </w:tr>
      <w:tr w:rsidR="00246C45" w:rsidRPr="007D0DCD" w14:paraId="140EB887" w14:textId="77777777" w:rsidTr="6006DEEF">
        <w:tc>
          <w:tcPr>
            <w:tcW w:w="817" w:type="dxa"/>
            <w:tcBorders>
              <w:top w:val="nil"/>
              <w:left w:val="nil"/>
              <w:bottom w:val="nil"/>
              <w:right w:val="nil"/>
            </w:tcBorders>
          </w:tcPr>
          <w:p w14:paraId="75C18A13" w14:textId="77777777" w:rsidR="00246C45" w:rsidRPr="007D0DCD" w:rsidRDefault="00246C45" w:rsidP="00246C45">
            <w:pPr>
              <w:rPr>
                <w:rFonts w:ascii="Calibri" w:eastAsia="Times New Roman" w:hAnsi="Calibri" w:cs="Arial"/>
                <w:szCs w:val="20"/>
                <w:lang w:eastAsia="en-GB"/>
              </w:rPr>
            </w:pPr>
          </w:p>
        </w:tc>
        <w:tc>
          <w:tcPr>
            <w:tcW w:w="8816" w:type="dxa"/>
            <w:tcBorders>
              <w:top w:val="nil"/>
              <w:left w:val="nil"/>
              <w:bottom w:val="nil"/>
              <w:right w:val="nil"/>
            </w:tcBorders>
          </w:tcPr>
          <w:p w14:paraId="1CDAE1A2" w14:textId="77777777" w:rsidR="00246C45" w:rsidRPr="007D0DCD" w:rsidRDefault="00246C45" w:rsidP="00246C45">
            <w:pPr>
              <w:rPr>
                <w:rFonts w:ascii="Calibri" w:eastAsia="Times New Roman" w:hAnsi="Calibri" w:cs="Arial"/>
                <w:szCs w:val="20"/>
                <w:lang w:eastAsia="en-GB"/>
              </w:rPr>
            </w:pPr>
          </w:p>
        </w:tc>
      </w:tr>
      <w:tr w:rsidR="00246C45" w:rsidRPr="007D0DCD" w14:paraId="06757603" w14:textId="77777777" w:rsidTr="6006DEEF">
        <w:trPr>
          <w:trHeight w:hRule="exact" w:val="284"/>
        </w:trPr>
        <w:tc>
          <w:tcPr>
            <w:tcW w:w="817" w:type="dxa"/>
            <w:tcBorders>
              <w:top w:val="nil"/>
              <w:left w:val="nil"/>
              <w:bottom w:val="nil"/>
              <w:right w:val="nil"/>
            </w:tcBorders>
          </w:tcPr>
          <w:p w14:paraId="2D084466" w14:textId="77777777" w:rsidR="00246C45" w:rsidRPr="00671F42" w:rsidRDefault="00246C45" w:rsidP="00246C45">
            <w:pPr>
              <w:pStyle w:val="ListParagraph"/>
              <w:numPr>
                <w:ilvl w:val="0"/>
                <w:numId w:val="5"/>
              </w:numPr>
            </w:pPr>
            <w:bookmarkStart w:id="14" w:name="_Toc476208631"/>
            <w:bookmarkEnd w:id="14"/>
          </w:p>
        </w:tc>
        <w:tc>
          <w:tcPr>
            <w:tcW w:w="8816" w:type="dxa"/>
            <w:tcBorders>
              <w:top w:val="nil"/>
              <w:left w:val="nil"/>
              <w:bottom w:val="nil"/>
              <w:right w:val="nil"/>
            </w:tcBorders>
          </w:tcPr>
          <w:p w14:paraId="4F9E4979" w14:textId="438FD8D3" w:rsidR="00246C45" w:rsidRPr="000D655A" w:rsidRDefault="00246C45" w:rsidP="00246C45">
            <w:pPr>
              <w:pStyle w:val="Heading1"/>
              <w:rPr>
                <w:lang w:val="en-US"/>
              </w:rPr>
            </w:pPr>
            <w:bookmarkStart w:id="15" w:name="_Toc116910373"/>
            <w:r>
              <w:rPr>
                <w:lang w:val="en-US"/>
              </w:rPr>
              <w:t>EQUALITY, DIVERSITY &amp; INCLUSION</w:t>
            </w:r>
            <w:bookmarkEnd w:id="15"/>
          </w:p>
        </w:tc>
      </w:tr>
      <w:tr w:rsidR="00246C45" w:rsidRPr="007D0DCD" w14:paraId="204F0263" w14:textId="77777777" w:rsidTr="6006DEEF">
        <w:tc>
          <w:tcPr>
            <w:tcW w:w="817" w:type="dxa"/>
            <w:tcBorders>
              <w:top w:val="nil"/>
              <w:left w:val="nil"/>
              <w:bottom w:val="nil"/>
              <w:right w:val="nil"/>
            </w:tcBorders>
          </w:tcPr>
          <w:p w14:paraId="633CF667" w14:textId="77777777" w:rsidR="00246C45" w:rsidRPr="00EF55CC" w:rsidRDefault="00246C45" w:rsidP="00246C45">
            <w:pPr>
              <w:rPr>
                <w:rFonts w:ascii="Calibri" w:eastAsia="Times New Roman" w:hAnsi="Calibri" w:cs="Arial"/>
                <w:szCs w:val="20"/>
                <w:lang w:eastAsia="en-GB"/>
              </w:rPr>
            </w:pPr>
          </w:p>
        </w:tc>
        <w:tc>
          <w:tcPr>
            <w:tcW w:w="8816" w:type="dxa"/>
            <w:tcBorders>
              <w:top w:val="nil"/>
              <w:left w:val="nil"/>
              <w:bottom w:val="nil"/>
              <w:right w:val="nil"/>
            </w:tcBorders>
          </w:tcPr>
          <w:p w14:paraId="34C5B8CB" w14:textId="51E2FB60" w:rsidR="00246C45" w:rsidRPr="00247C6B" w:rsidRDefault="00246C45" w:rsidP="00246C45">
            <w:pPr>
              <w:rPr>
                <w:i/>
                <w:iCs/>
                <w:color w:val="A6A6A6" w:themeColor="background1" w:themeShade="A6"/>
                <w:lang w:val="en-US"/>
              </w:rPr>
            </w:pPr>
            <w:r>
              <w:rPr>
                <w:i/>
                <w:iCs/>
                <w:color w:val="A6A6A6" w:themeColor="background1" w:themeShade="A6"/>
                <w:lang w:val="en-US"/>
              </w:rPr>
              <w:t xml:space="preserve"> </w:t>
            </w:r>
          </w:p>
        </w:tc>
      </w:tr>
      <w:tr w:rsidR="00246C45" w:rsidRPr="007D0DCD" w14:paraId="044245EE" w14:textId="77777777" w:rsidTr="6006DEEF">
        <w:tc>
          <w:tcPr>
            <w:tcW w:w="817" w:type="dxa"/>
            <w:tcBorders>
              <w:top w:val="nil"/>
              <w:left w:val="nil"/>
              <w:bottom w:val="nil"/>
              <w:right w:val="nil"/>
            </w:tcBorders>
          </w:tcPr>
          <w:p w14:paraId="121B641D" w14:textId="77777777" w:rsidR="00246C45" w:rsidRPr="003C1B99"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3FDC5F56" w14:textId="487DC11E" w:rsidR="00246C45" w:rsidRPr="00F407AD" w:rsidRDefault="00246C45" w:rsidP="00246C45">
            <w:pPr>
              <w:rPr>
                <w:rFonts w:eastAsia="Times New Roman" w:cs="Arial"/>
                <w:color w:val="000000" w:themeColor="text1"/>
                <w:szCs w:val="20"/>
                <w:lang w:eastAsia="en-GB"/>
              </w:rPr>
            </w:pPr>
            <w:r w:rsidRPr="00DC668B">
              <w:rPr>
                <w:rFonts w:eastAsia="Times New Roman"/>
                <w:szCs w:val="20"/>
              </w:rPr>
              <w:t>The Trust will follow its Equality Diversity</w:t>
            </w:r>
            <w:r>
              <w:rPr>
                <w:rFonts w:eastAsia="Times New Roman"/>
                <w:szCs w:val="20"/>
              </w:rPr>
              <w:t xml:space="preserve"> and inclusion</w:t>
            </w:r>
            <w:r w:rsidRPr="00DC668B">
              <w:rPr>
                <w:rFonts w:eastAsia="Times New Roman"/>
                <w:szCs w:val="20"/>
              </w:rPr>
              <w:t xml:space="preserve"> Policy and consider individual need when communicating and dealing with customers regarding rent setting and service charges.</w:t>
            </w:r>
          </w:p>
        </w:tc>
      </w:tr>
      <w:tr w:rsidR="00246C45" w:rsidRPr="007D0DCD" w14:paraId="4F8157A0" w14:textId="77777777" w:rsidTr="6006DEEF">
        <w:tc>
          <w:tcPr>
            <w:tcW w:w="817" w:type="dxa"/>
            <w:tcBorders>
              <w:top w:val="nil"/>
              <w:left w:val="nil"/>
              <w:bottom w:val="nil"/>
              <w:right w:val="nil"/>
            </w:tcBorders>
          </w:tcPr>
          <w:p w14:paraId="465AE4C9" w14:textId="77777777" w:rsidR="00246C45" w:rsidRPr="00246C45" w:rsidRDefault="00246C45" w:rsidP="00246C45">
            <w:pPr>
              <w:rPr>
                <w:rFonts w:eastAsia="Times New Roman" w:cs="Arial"/>
                <w:szCs w:val="20"/>
                <w:lang w:eastAsia="en-GB"/>
              </w:rPr>
            </w:pPr>
          </w:p>
        </w:tc>
        <w:tc>
          <w:tcPr>
            <w:tcW w:w="8816" w:type="dxa"/>
            <w:tcBorders>
              <w:top w:val="nil"/>
              <w:left w:val="nil"/>
              <w:bottom w:val="nil"/>
              <w:right w:val="nil"/>
            </w:tcBorders>
          </w:tcPr>
          <w:p w14:paraId="2807D4F4" w14:textId="77777777" w:rsidR="00246C45" w:rsidRPr="00DC668B" w:rsidRDefault="00246C45" w:rsidP="00246C45">
            <w:pPr>
              <w:rPr>
                <w:rFonts w:eastAsia="Times New Roman"/>
                <w:szCs w:val="20"/>
              </w:rPr>
            </w:pPr>
          </w:p>
        </w:tc>
      </w:tr>
      <w:tr w:rsidR="00246C45" w:rsidRPr="007D0DCD" w14:paraId="77105925" w14:textId="77777777" w:rsidTr="6006DEEF">
        <w:tc>
          <w:tcPr>
            <w:tcW w:w="817" w:type="dxa"/>
            <w:tcBorders>
              <w:top w:val="nil"/>
              <w:left w:val="nil"/>
              <w:bottom w:val="nil"/>
              <w:right w:val="nil"/>
            </w:tcBorders>
          </w:tcPr>
          <w:p w14:paraId="78A318B5" w14:textId="77777777" w:rsidR="00246C45" w:rsidRPr="003C1B99" w:rsidRDefault="00246C45" w:rsidP="00246C45">
            <w:pPr>
              <w:pStyle w:val="ListParagraph"/>
              <w:numPr>
                <w:ilvl w:val="1"/>
                <w:numId w:val="5"/>
              </w:numPr>
              <w:ind w:left="431" w:hanging="431"/>
              <w:rPr>
                <w:rFonts w:eastAsia="Times New Roman" w:cs="Arial"/>
                <w:b w:val="0"/>
                <w:color w:val="auto"/>
                <w:szCs w:val="20"/>
                <w:lang w:eastAsia="en-GB"/>
              </w:rPr>
            </w:pPr>
          </w:p>
        </w:tc>
        <w:tc>
          <w:tcPr>
            <w:tcW w:w="8816" w:type="dxa"/>
            <w:tcBorders>
              <w:top w:val="nil"/>
              <w:left w:val="nil"/>
              <w:bottom w:val="nil"/>
              <w:right w:val="nil"/>
            </w:tcBorders>
          </w:tcPr>
          <w:p w14:paraId="23F7DE1A" w14:textId="31071A5D" w:rsidR="00246C45" w:rsidRPr="00DC668B" w:rsidRDefault="00246C45" w:rsidP="00246C45">
            <w:pPr>
              <w:rPr>
                <w:rFonts w:eastAsia="Times New Roman"/>
                <w:szCs w:val="20"/>
              </w:rPr>
            </w:pPr>
            <w:r>
              <w:rPr>
                <w:rFonts w:ascii="Calibri" w:eastAsia="Times New Roman" w:hAnsi="Calibri" w:cs="Arial"/>
                <w:szCs w:val="20"/>
                <w:lang w:eastAsia="en-GB"/>
              </w:rPr>
              <w:t>We will inform all new and existing tenants of the potential impacts of any welfare reform measures, including those already introduced and any scheduled, on their income and rent payment liabilities.</w:t>
            </w:r>
          </w:p>
        </w:tc>
      </w:tr>
      <w:tr w:rsidR="00246C45" w:rsidRPr="007D0DCD" w14:paraId="07672AC6" w14:textId="77777777" w:rsidTr="6006DEEF">
        <w:tc>
          <w:tcPr>
            <w:tcW w:w="817" w:type="dxa"/>
            <w:tcBorders>
              <w:top w:val="nil"/>
              <w:left w:val="nil"/>
              <w:bottom w:val="nil"/>
              <w:right w:val="nil"/>
            </w:tcBorders>
          </w:tcPr>
          <w:p w14:paraId="47FD1FFC" w14:textId="77777777" w:rsidR="00246C45" w:rsidRPr="003C1B99" w:rsidRDefault="00246C45" w:rsidP="00246C45">
            <w:pPr>
              <w:pStyle w:val="ListParagraph"/>
              <w:ind w:left="431"/>
              <w:rPr>
                <w:rFonts w:eastAsia="Times New Roman" w:cs="Arial"/>
                <w:b w:val="0"/>
                <w:color w:val="auto"/>
                <w:szCs w:val="20"/>
                <w:lang w:eastAsia="en-GB"/>
              </w:rPr>
            </w:pPr>
          </w:p>
        </w:tc>
        <w:tc>
          <w:tcPr>
            <w:tcW w:w="8816" w:type="dxa"/>
            <w:tcBorders>
              <w:top w:val="nil"/>
              <w:left w:val="nil"/>
              <w:bottom w:val="nil"/>
              <w:right w:val="nil"/>
            </w:tcBorders>
          </w:tcPr>
          <w:p w14:paraId="54C0E6E8" w14:textId="77777777" w:rsidR="00246C45" w:rsidRPr="00BA5AF4" w:rsidRDefault="00246C45" w:rsidP="00246C45">
            <w:pPr>
              <w:rPr>
                <w:rFonts w:ascii="Calibri" w:eastAsia="Times New Roman" w:hAnsi="Calibri" w:cs="Arial"/>
                <w:szCs w:val="20"/>
                <w:lang w:eastAsia="en-GB"/>
              </w:rPr>
            </w:pPr>
          </w:p>
        </w:tc>
      </w:tr>
      <w:tr w:rsidR="00246C45" w:rsidRPr="007D0DCD" w14:paraId="6D2C0195" w14:textId="77777777" w:rsidTr="6006DEEF">
        <w:tc>
          <w:tcPr>
            <w:tcW w:w="817" w:type="dxa"/>
            <w:tcBorders>
              <w:top w:val="nil"/>
              <w:left w:val="nil"/>
              <w:bottom w:val="nil"/>
              <w:right w:val="nil"/>
            </w:tcBorders>
          </w:tcPr>
          <w:p w14:paraId="0D9507E7" w14:textId="77777777" w:rsidR="00246C45" w:rsidRPr="00E82464" w:rsidRDefault="00246C45" w:rsidP="00246C45">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295CEE3A" w14:textId="77777777" w:rsidR="00246C45" w:rsidRPr="00E82464" w:rsidRDefault="00246C45" w:rsidP="00246C45">
            <w:pPr>
              <w:pStyle w:val="Heading1"/>
              <w:rPr>
                <w:lang w:eastAsia="en-GB"/>
              </w:rPr>
            </w:pPr>
            <w:bookmarkStart w:id="16" w:name="_Toc116910374"/>
            <w:r w:rsidRPr="00E82464">
              <w:t>RESPONSIBILITIES</w:t>
            </w:r>
            <w:bookmarkEnd w:id="16"/>
          </w:p>
        </w:tc>
      </w:tr>
      <w:tr w:rsidR="00246C45" w:rsidRPr="007D0DCD" w14:paraId="1941F0FE" w14:textId="77777777" w:rsidTr="6006DEEF">
        <w:tc>
          <w:tcPr>
            <w:tcW w:w="817" w:type="dxa"/>
            <w:tcBorders>
              <w:top w:val="nil"/>
              <w:left w:val="nil"/>
              <w:bottom w:val="nil"/>
              <w:right w:val="nil"/>
            </w:tcBorders>
          </w:tcPr>
          <w:p w14:paraId="18A98C23" w14:textId="77777777" w:rsidR="00246C45" w:rsidRPr="00E82464" w:rsidRDefault="00246C45" w:rsidP="00246C45">
            <w:pPr>
              <w:rPr>
                <w:rFonts w:eastAsia="Times New Roman" w:cs="Arial"/>
                <w:szCs w:val="20"/>
                <w:lang w:eastAsia="en-GB"/>
              </w:rPr>
            </w:pPr>
          </w:p>
        </w:tc>
        <w:tc>
          <w:tcPr>
            <w:tcW w:w="8816" w:type="dxa"/>
            <w:tcBorders>
              <w:top w:val="nil"/>
              <w:left w:val="nil"/>
              <w:bottom w:val="nil"/>
              <w:right w:val="nil"/>
            </w:tcBorders>
          </w:tcPr>
          <w:p w14:paraId="3B71D695" w14:textId="77777777" w:rsidR="00246C45" w:rsidRPr="00A064EB" w:rsidRDefault="00246C45" w:rsidP="00246C45">
            <w:pPr>
              <w:rPr>
                <w:i/>
                <w:iCs/>
                <w:color w:val="FF0000"/>
                <w:lang w:val="en-US"/>
              </w:rPr>
            </w:pPr>
          </w:p>
        </w:tc>
      </w:tr>
      <w:tr w:rsidR="00246C45" w:rsidRPr="007D0DCD" w14:paraId="154507C3" w14:textId="77777777" w:rsidTr="6006DEEF">
        <w:tc>
          <w:tcPr>
            <w:tcW w:w="817" w:type="dxa"/>
            <w:tcBorders>
              <w:top w:val="nil"/>
              <w:left w:val="nil"/>
              <w:bottom w:val="nil"/>
              <w:right w:val="nil"/>
            </w:tcBorders>
          </w:tcPr>
          <w:p w14:paraId="092CC823" w14:textId="77777777" w:rsidR="00246C45" w:rsidRPr="00E82464" w:rsidRDefault="00246C45" w:rsidP="00246C45">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6069313" w14:textId="55BF0985" w:rsidR="00246C45" w:rsidRPr="00BA5AF4" w:rsidRDefault="00246C45" w:rsidP="00246C45">
            <w:pPr>
              <w:rPr>
                <w:rFonts w:ascii="Calibri" w:eastAsia="Times New Roman" w:hAnsi="Calibri" w:cs="Arial"/>
                <w:szCs w:val="20"/>
                <w:lang w:eastAsia="en-GB"/>
              </w:rPr>
            </w:pPr>
            <w:r w:rsidRPr="00BA5AF4">
              <w:rPr>
                <w:rFonts w:ascii="Calibri" w:eastAsia="Times New Roman" w:hAnsi="Calibri" w:cs="Helvetica"/>
                <w:szCs w:val="23"/>
                <w:lang w:eastAsia="en-GB"/>
              </w:rPr>
              <w:t xml:space="preserve">The Trust's </w:t>
            </w:r>
            <w:r>
              <w:rPr>
                <w:rFonts w:ascii="Calibri" w:eastAsia="Times New Roman" w:hAnsi="Calibri" w:cs="Helvetica"/>
                <w:szCs w:val="23"/>
                <w:lang w:eastAsia="en-GB"/>
              </w:rPr>
              <w:t>Board is responsible for approving variations to rent on an annual basis.</w:t>
            </w:r>
            <w:r w:rsidRPr="00602539">
              <w:rPr>
                <w:rFonts w:ascii="Calibri" w:eastAsia="Times New Roman" w:hAnsi="Calibri" w:cs="Helvetica"/>
                <w:szCs w:val="23"/>
                <w:lang w:eastAsia="en-GB"/>
              </w:rPr>
              <w:t xml:space="preserve"> It is the responsibility of the </w:t>
            </w:r>
            <w:r>
              <w:rPr>
                <w:rFonts w:ascii="Calibri" w:eastAsia="Times New Roman" w:hAnsi="Calibri" w:cs="Helvetica"/>
                <w:szCs w:val="23"/>
                <w:lang w:eastAsia="en-GB"/>
              </w:rPr>
              <w:t xml:space="preserve">Trust </w:t>
            </w:r>
            <w:r w:rsidRPr="00602539">
              <w:rPr>
                <w:rFonts w:ascii="Calibri" w:eastAsia="Times New Roman" w:hAnsi="Calibri" w:cs="Helvetica"/>
                <w:szCs w:val="23"/>
                <w:lang w:eastAsia="en-GB"/>
              </w:rPr>
              <w:t>Board to take the appropriate decisions in relation to rent setting in accordance with recommendations from the Director of Resources and the Chief Executive</w:t>
            </w:r>
            <w:r>
              <w:rPr>
                <w:rFonts w:ascii="Calibri" w:eastAsia="Times New Roman" w:hAnsi="Calibri" w:cs="Helvetica"/>
                <w:szCs w:val="23"/>
                <w:lang w:eastAsia="en-GB"/>
              </w:rPr>
              <w:t>.  The Board is also responsible for approving this policy.</w:t>
            </w:r>
          </w:p>
        </w:tc>
      </w:tr>
      <w:tr w:rsidR="00246C45" w:rsidRPr="007D0DCD" w14:paraId="0514D3B7" w14:textId="77777777" w:rsidTr="6006DEEF">
        <w:tc>
          <w:tcPr>
            <w:tcW w:w="817" w:type="dxa"/>
            <w:tcBorders>
              <w:top w:val="nil"/>
              <w:left w:val="nil"/>
              <w:bottom w:val="nil"/>
              <w:right w:val="nil"/>
            </w:tcBorders>
          </w:tcPr>
          <w:p w14:paraId="52B20DF9" w14:textId="77777777" w:rsidR="00246C45" w:rsidRPr="00E82464" w:rsidRDefault="00246C45" w:rsidP="00246C45">
            <w:pPr>
              <w:pStyle w:val="ListParagraph"/>
              <w:ind w:left="0"/>
              <w:rPr>
                <w:rFonts w:eastAsia="Times New Roman" w:cs="Arial"/>
                <w:szCs w:val="20"/>
                <w:lang w:eastAsia="en-GB"/>
              </w:rPr>
            </w:pPr>
          </w:p>
        </w:tc>
        <w:tc>
          <w:tcPr>
            <w:tcW w:w="8816" w:type="dxa"/>
            <w:tcBorders>
              <w:top w:val="nil"/>
              <w:left w:val="nil"/>
              <w:bottom w:val="nil"/>
              <w:right w:val="nil"/>
            </w:tcBorders>
          </w:tcPr>
          <w:p w14:paraId="13CEF189" w14:textId="77777777" w:rsidR="00246C45" w:rsidRPr="00BA5AF4" w:rsidRDefault="00246C45" w:rsidP="00246C45">
            <w:pPr>
              <w:rPr>
                <w:rFonts w:ascii="Calibri" w:eastAsia="Times New Roman" w:hAnsi="Calibri" w:cs="Helvetica"/>
                <w:szCs w:val="23"/>
                <w:lang w:eastAsia="en-GB"/>
              </w:rPr>
            </w:pPr>
          </w:p>
        </w:tc>
      </w:tr>
      <w:tr w:rsidR="00246C45" w:rsidRPr="007D0DCD" w14:paraId="4F2D72E1" w14:textId="77777777" w:rsidTr="6006DEEF">
        <w:tc>
          <w:tcPr>
            <w:tcW w:w="817" w:type="dxa"/>
            <w:tcBorders>
              <w:top w:val="nil"/>
              <w:left w:val="nil"/>
              <w:bottom w:val="nil"/>
              <w:right w:val="nil"/>
            </w:tcBorders>
          </w:tcPr>
          <w:p w14:paraId="65E08E64" w14:textId="77777777" w:rsidR="00246C45" w:rsidRPr="00E82464" w:rsidRDefault="00246C45" w:rsidP="00246C45">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72C3735C" w14:textId="104BC9D8" w:rsidR="00246C45" w:rsidRPr="00BA5AF4" w:rsidRDefault="00246C45" w:rsidP="00246C45">
            <w:pPr>
              <w:rPr>
                <w:rFonts w:ascii="Calibri" w:eastAsia="Times New Roman" w:hAnsi="Calibri" w:cs="Helvetica"/>
                <w:szCs w:val="23"/>
                <w:lang w:eastAsia="en-GB"/>
              </w:rPr>
            </w:pPr>
            <w:r>
              <w:rPr>
                <w:rFonts w:ascii="Calibri" w:eastAsia="Times New Roman" w:hAnsi="Calibri" w:cs="Helvetica"/>
                <w:szCs w:val="23"/>
                <w:lang w:eastAsia="en-GB"/>
              </w:rPr>
              <w:t>The Executive Management Team is responsible for approving the rent setting procedures which support this policy.</w:t>
            </w:r>
          </w:p>
        </w:tc>
      </w:tr>
      <w:tr w:rsidR="00246C45" w:rsidRPr="007D0DCD" w14:paraId="44B1FBA6" w14:textId="77777777" w:rsidTr="6006DEEF">
        <w:tc>
          <w:tcPr>
            <w:tcW w:w="817" w:type="dxa"/>
            <w:tcBorders>
              <w:top w:val="nil"/>
              <w:left w:val="nil"/>
              <w:bottom w:val="nil"/>
              <w:right w:val="nil"/>
            </w:tcBorders>
          </w:tcPr>
          <w:p w14:paraId="14477EBD" w14:textId="77777777" w:rsidR="00246C45" w:rsidRPr="00E82464" w:rsidRDefault="00246C45" w:rsidP="00246C45">
            <w:pPr>
              <w:rPr>
                <w:rFonts w:eastAsia="Times New Roman" w:cs="Arial"/>
                <w:szCs w:val="20"/>
                <w:lang w:eastAsia="en-GB"/>
              </w:rPr>
            </w:pPr>
          </w:p>
        </w:tc>
        <w:tc>
          <w:tcPr>
            <w:tcW w:w="8816" w:type="dxa"/>
            <w:tcBorders>
              <w:top w:val="nil"/>
              <w:left w:val="nil"/>
              <w:bottom w:val="nil"/>
              <w:right w:val="nil"/>
            </w:tcBorders>
          </w:tcPr>
          <w:p w14:paraId="15D5C34C" w14:textId="77777777" w:rsidR="00246C45" w:rsidRPr="00BA5AF4" w:rsidRDefault="00246C45" w:rsidP="00246C45">
            <w:pPr>
              <w:rPr>
                <w:rFonts w:ascii="Calibri" w:eastAsia="Times New Roman" w:hAnsi="Calibri" w:cs="Arial"/>
                <w:szCs w:val="20"/>
                <w:lang w:eastAsia="en-GB"/>
              </w:rPr>
            </w:pPr>
          </w:p>
        </w:tc>
      </w:tr>
      <w:tr w:rsidR="00246C45" w:rsidRPr="007D0DCD" w14:paraId="605FB7C6" w14:textId="77777777" w:rsidTr="6006DEEF">
        <w:tc>
          <w:tcPr>
            <w:tcW w:w="817" w:type="dxa"/>
            <w:tcBorders>
              <w:top w:val="nil"/>
              <w:left w:val="nil"/>
              <w:bottom w:val="nil"/>
              <w:right w:val="nil"/>
            </w:tcBorders>
          </w:tcPr>
          <w:p w14:paraId="15587108" w14:textId="77777777" w:rsidR="00246C45" w:rsidRPr="00E82464" w:rsidRDefault="00246C45" w:rsidP="00246C45">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7CF50F7A" w14:textId="419F7D2C" w:rsidR="00246C45" w:rsidRPr="00BA5AF4" w:rsidRDefault="00246C45" w:rsidP="00246C45">
            <w:pPr>
              <w:rPr>
                <w:rFonts w:ascii="Calibri" w:eastAsia="Times New Roman" w:hAnsi="Calibri" w:cs="Arial"/>
                <w:szCs w:val="20"/>
                <w:lang w:eastAsia="en-GB"/>
              </w:rPr>
            </w:pPr>
            <w:r>
              <w:rPr>
                <w:rFonts w:ascii="Calibri" w:eastAsia="Times New Roman" w:hAnsi="Calibri" w:cs="Helvetica"/>
                <w:szCs w:val="23"/>
                <w:lang w:eastAsia="en-GB"/>
              </w:rPr>
              <w:t xml:space="preserve">The </w:t>
            </w:r>
            <w:r w:rsidRPr="00BA5AF4">
              <w:rPr>
                <w:rFonts w:ascii="Calibri" w:eastAsia="Times New Roman" w:hAnsi="Calibri" w:cs="Helvetica"/>
                <w:szCs w:val="23"/>
                <w:lang w:eastAsia="en-GB"/>
              </w:rPr>
              <w:t>Director of Resources is responsible for the effective implementation of this policy. The Trust's Director of Resources is also responsible for ensuring that all appropriate staff are aware of and are trained in the Trust‘s Policy and associated procedures.</w:t>
            </w:r>
            <w:r>
              <w:rPr>
                <w:rFonts w:ascii="Calibri" w:eastAsia="Times New Roman" w:hAnsi="Calibri" w:cs="Helvetica"/>
                <w:szCs w:val="23"/>
                <w:lang w:eastAsia="en-GB"/>
              </w:rPr>
              <w:t xml:space="preserve">   </w:t>
            </w:r>
          </w:p>
        </w:tc>
      </w:tr>
      <w:tr w:rsidR="00246C45" w:rsidRPr="007D0DCD" w14:paraId="7DD431EC" w14:textId="77777777" w:rsidTr="6006DEEF">
        <w:tc>
          <w:tcPr>
            <w:tcW w:w="817" w:type="dxa"/>
            <w:tcBorders>
              <w:top w:val="nil"/>
              <w:left w:val="nil"/>
              <w:bottom w:val="nil"/>
              <w:right w:val="nil"/>
            </w:tcBorders>
          </w:tcPr>
          <w:p w14:paraId="2FDCFE3F" w14:textId="77777777" w:rsidR="00246C45" w:rsidRPr="00E82464" w:rsidRDefault="00246C45" w:rsidP="00246C45">
            <w:pPr>
              <w:pStyle w:val="ListParagraph"/>
              <w:ind w:left="0"/>
              <w:rPr>
                <w:rFonts w:eastAsia="Times New Roman" w:cs="Arial"/>
                <w:szCs w:val="20"/>
                <w:lang w:eastAsia="en-GB"/>
              </w:rPr>
            </w:pPr>
          </w:p>
        </w:tc>
        <w:tc>
          <w:tcPr>
            <w:tcW w:w="8816" w:type="dxa"/>
            <w:tcBorders>
              <w:top w:val="nil"/>
              <w:left w:val="nil"/>
              <w:bottom w:val="nil"/>
              <w:right w:val="nil"/>
            </w:tcBorders>
          </w:tcPr>
          <w:p w14:paraId="4C12870F" w14:textId="77777777" w:rsidR="00246C45" w:rsidRDefault="00246C45" w:rsidP="00246C45">
            <w:pPr>
              <w:rPr>
                <w:rFonts w:ascii="Calibri" w:eastAsia="Times New Roman" w:hAnsi="Calibri" w:cs="Helvetica"/>
                <w:szCs w:val="23"/>
                <w:lang w:eastAsia="en-GB"/>
              </w:rPr>
            </w:pPr>
          </w:p>
        </w:tc>
      </w:tr>
      <w:tr w:rsidR="00246C45" w:rsidRPr="007D0DCD" w14:paraId="0C9B2F96" w14:textId="77777777" w:rsidTr="6006DEEF">
        <w:tc>
          <w:tcPr>
            <w:tcW w:w="817" w:type="dxa"/>
            <w:tcBorders>
              <w:top w:val="nil"/>
              <w:left w:val="nil"/>
              <w:bottom w:val="nil"/>
              <w:right w:val="nil"/>
            </w:tcBorders>
          </w:tcPr>
          <w:p w14:paraId="000A3A3D" w14:textId="77777777" w:rsidR="00246C45" w:rsidRPr="00E82464" w:rsidRDefault="00246C45" w:rsidP="00246C45">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2368F567" w14:textId="0AD75517" w:rsidR="00246C45" w:rsidRDefault="00246C45" w:rsidP="00246C45">
            <w:pPr>
              <w:rPr>
                <w:rFonts w:ascii="Calibri" w:eastAsia="Times New Roman" w:hAnsi="Calibri" w:cs="Helvetica"/>
                <w:szCs w:val="23"/>
                <w:lang w:eastAsia="en-GB"/>
              </w:rPr>
            </w:pPr>
            <w:r>
              <w:rPr>
                <w:rFonts w:ascii="Calibri" w:eastAsia="Times New Roman" w:hAnsi="Calibri" w:cs="Helvetica"/>
                <w:szCs w:val="23"/>
                <w:lang w:eastAsia="en-GB"/>
              </w:rPr>
              <w:t xml:space="preserve">The Head of </w:t>
            </w:r>
            <w:r w:rsidR="0088453C">
              <w:rPr>
                <w:rFonts w:ascii="Calibri" w:eastAsia="Times New Roman" w:hAnsi="Calibri" w:cs="Helvetica"/>
                <w:szCs w:val="23"/>
                <w:lang w:eastAsia="en-GB"/>
              </w:rPr>
              <w:t>Neighbourhoods</w:t>
            </w:r>
            <w:r>
              <w:rPr>
                <w:rFonts w:ascii="Calibri" w:eastAsia="Times New Roman" w:hAnsi="Calibri" w:cs="Helvetica"/>
                <w:szCs w:val="23"/>
                <w:lang w:eastAsia="en-GB"/>
              </w:rPr>
              <w:t xml:space="preserve"> is responsible for preparing the communication to customers regarding the rent increase, and ensuring it is issued in line with section 5.2 of this policy.</w:t>
            </w:r>
          </w:p>
        </w:tc>
      </w:tr>
      <w:tr w:rsidR="00246C45" w:rsidRPr="007D0DCD" w14:paraId="34E56B22" w14:textId="77777777" w:rsidTr="6006DEEF">
        <w:tc>
          <w:tcPr>
            <w:tcW w:w="817" w:type="dxa"/>
            <w:tcBorders>
              <w:top w:val="nil"/>
              <w:left w:val="nil"/>
              <w:bottom w:val="nil"/>
              <w:right w:val="nil"/>
            </w:tcBorders>
          </w:tcPr>
          <w:p w14:paraId="57ADE365" w14:textId="77777777" w:rsidR="00246C45" w:rsidRPr="00E82464" w:rsidRDefault="00246C45" w:rsidP="00246C45">
            <w:pPr>
              <w:rPr>
                <w:rFonts w:eastAsia="Times New Roman" w:cs="Arial"/>
                <w:szCs w:val="20"/>
                <w:lang w:eastAsia="en-GB"/>
              </w:rPr>
            </w:pPr>
          </w:p>
        </w:tc>
        <w:tc>
          <w:tcPr>
            <w:tcW w:w="8816" w:type="dxa"/>
            <w:tcBorders>
              <w:top w:val="nil"/>
              <w:left w:val="nil"/>
              <w:bottom w:val="nil"/>
              <w:right w:val="nil"/>
            </w:tcBorders>
          </w:tcPr>
          <w:p w14:paraId="44F98EBB" w14:textId="77777777" w:rsidR="00246C45" w:rsidRPr="00BA5AF4" w:rsidRDefault="00246C45" w:rsidP="00246C45">
            <w:pPr>
              <w:rPr>
                <w:rFonts w:ascii="Calibri" w:eastAsia="Times New Roman" w:hAnsi="Calibri" w:cs="Arial"/>
                <w:szCs w:val="20"/>
                <w:lang w:eastAsia="en-GB"/>
              </w:rPr>
            </w:pPr>
          </w:p>
        </w:tc>
      </w:tr>
      <w:tr w:rsidR="00246C45" w:rsidRPr="007D0DCD" w14:paraId="2888BBAD" w14:textId="77777777" w:rsidTr="6006DEEF">
        <w:tc>
          <w:tcPr>
            <w:tcW w:w="817" w:type="dxa"/>
            <w:tcBorders>
              <w:top w:val="nil"/>
              <w:left w:val="nil"/>
              <w:bottom w:val="nil"/>
              <w:right w:val="nil"/>
            </w:tcBorders>
          </w:tcPr>
          <w:p w14:paraId="604BD0F7" w14:textId="77777777" w:rsidR="00246C45" w:rsidRPr="00E82464" w:rsidRDefault="00246C45" w:rsidP="00246C45">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579C76DC" w14:textId="01E819DE" w:rsidR="00246C45" w:rsidRPr="00BA5AF4" w:rsidRDefault="00246C45" w:rsidP="00246C45">
            <w:pPr>
              <w:rPr>
                <w:rFonts w:ascii="Calibri" w:eastAsia="Times New Roman" w:hAnsi="Calibri" w:cs="Arial"/>
                <w:szCs w:val="20"/>
                <w:lang w:eastAsia="en-GB"/>
              </w:rPr>
            </w:pPr>
            <w:r>
              <w:rPr>
                <w:rFonts w:ascii="Calibri" w:eastAsia="Times New Roman" w:hAnsi="Calibri" w:cs="Helvetica"/>
                <w:szCs w:val="23"/>
                <w:lang w:eastAsia="en-GB"/>
              </w:rPr>
              <w:t xml:space="preserve">The </w:t>
            </w:r>
            <w:r w:rsidR="00FF5DB7">
              <w:rPr>
                <w:rFonts w:ascii="Calibri" w:eastAsia="Times New Roman" w:hAnsi="Calibri" w:cs="Helvetica"/>
                <w:szCs w:val="23"/>
                <w:lang w:eastAsia="en-GB"/>
              </w:rPr>
              <w:t>Rent &amp; Service Charge Manager</w:t>
            </w:r>
            <w:r>
              <w:rPr>
                <w:rFonts w:ascii="Calibri" w:eastAsia="Times New Roman" w:hAnsi="Calibri" w:cs="Helvetica"/>
                <w:szCs w:val="23"/>
                <w:lang w:eastAsia="en-GB"/>
              </w:rPr>
              <w:t xml:space="preserve"> is responsible for the Trust’s rent plan and the setting of rents for Trust properties as outlined in the procedures.</w:t>
            </w:r>
          </w:p>
        </w:tc>
      </w:tr>
      <w:tr w:rsidR="00246C45" w:rsidRPr="007D0DCD" w14:paraId="0050CACF" w14:textId="77777777" w:rsidTr="6006DEEF">
        <w:tc>
          <w:tcPr>
            <w:tcW w:w="817" w:type="dxa"/>
            <w:tcBorders>
              <w:top w:val="nil"/>
              <w:left w:val="nil"/>
              <w:bottom w:val="nil"/>
              <w:right w:val="nil"/>
            </w:tcBorders>
          </w:tcPr>
          <w:p w14:paraId="0A6DB809" w14:textId="77777777" w:rsidR="00246C45" w:rsidRPr="00E82464" w:rsidRDefault="00246C45" w:rsidP="00246C45">
            <w:pPr>
              <w:pStyle w:val="ListParagraph"/>
              <w:ind w:left="0"/>
              <w:rPr>
                <w:rFonts w:eastAsia="Times New Roman" w:cs="Arial"/>
                <w:szCs w:val="20"/>
                <w:lang w:eastAsia="en-GB"/>
              </w:rPr>
            </w:pPr>
          </w:p>
        </w:tc>
        <w:tc>
          <w:tcPr>
            <w:tcW w:w="8816" w:type="dxa"/>
            <w:tcBorders>
              <w:top w:val="nil"/>
              <w:left w:val="nil"/>
              <w:bottom w:val="nil"/>
              <w:right w:val="nil"/>
            </w:tcBorders>
          </w:tcPr>
          <w:p w14:paraId="2E39F3F5" w14:textId="77777777" w:rsidR="00246C45" w:rsidRPr="00BA5AF4" w:rsidRDefault="00246C45" w:rsidP="00246C45">
            <w:pPr>
              <w:rPr>
                <w:rFonts w:ascii="Calibri" w:eastAsia="Times New Roman" w:hAnsi="Calibri" w:cs="Arial"/>
                <w:szCs w:val="20"/>
                <w:lang w:eastAsia="en-GB"/>
              </w:rPr>
            </w:pPr>
          </w:p>
        </w:tc>
      </w:tr>
      <w:tr w:rsidR="00246C45" w:rsidRPr="007D0DCD" w14:paraId="12D45943" w14:textId="77777777" w:rsidTr="6006DEEF">
        <w:tc>
          <w:tcPr>
            <w:tcW w:w="817" w:type="dxa"/>
            <w:tcBorders>
              <w:top w:val="nil"/>
              <w:left w:val="nil"/>
              <w:bottom w:val="nil"/>
              <w:right w:val="nil"/>
            </w:tcBorders>
          </w:tcPr>
          <w:p w14:paraId="498BBDEC" w14:textId="77777777" w:rsidR="00246C45" w:rsidRPr="00E82464" w:rsidRDefault="00246C45" w:rsidP="00246C45">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101F302" w14:textId="40350A34" w:rsidR="00246C45" w:rsidRPr="00BA5AF4" w:rsidRDefault="00246C45" w:rsidP="00246C45">
            <w:pPr>
              <w:rPr>
                <w:rFonts w:ascii="Calibri" w:eastAsia="Times New Roman" w:hAnsi="Calibri" w:cs="Arial"/>
                <w:szCs w:val="20"/>
                <w:lang w:eastAsia="en-GB"/>
              </w:rPr>
            </w:pPr>
            <w:r>
              <w:rPr>
                <w:rFonts w:ascii="Calibri" w:eastAsia="Times New Roman" w:hAnsi="Calibri" w:cs="Arial"/>
                <w:szCs w:val="20"/>
                <w:lang w:eastAsia="en-GB"/>
              </w:rPr>
              <w:t xml:space="preserve">Individual departments are responsible for providing records to support the recovery of service charges. The </w:t>
            </w:r>
            <w:r w:rsidR="00FF5DB7">
              <w:rPr>
                <w:rFonts w:ascii="Calibri" w:eastAsia="Times New Roman" w:hAnsi="Calibri" w:cs="Arial"/>
                <w:szCs w:val="20"/>
                <w:lang w:eastAsia="en-GB"/>
              </w:rPr>
              <w:t>Rents &amp; Service Charge Manager</w:t>
            </w:r>
            <w:r>
              <w:rPr>
                <w:rFonts w:ascii="Calibri" w:eastAsia="Times New Roman" w:hAnsi="Calibri" w:cs="Arial"/>
                <w:szCs w:val="20"/>
                <w:lang w:eastAsia="en-GB"/>
              </w:rPr>
              <w:t xml:space="preserve"> is responsible for consolidating the information provided into an annual service charge.</w:t>
            </w:r>
          </w:p>
        </w:tc>
      </w:tr>
      <w:tr w:rsidR="00246C45" w:rsidRPr="007D0DCD" w14:paraId="0601A0F3" w14:textId="77777777" w:rsidTr="6006DEEF">
        <w:tc>
          <w:tcPr>
            <w:tcW w:w="817" w:type="dxa"/>
            <w:tcBorders>
              <w:top w:val="nil"/>
              <w:left w:val="nil"/>
              <w:bottom w:val="nil"/>
              <w:right w:val="nil"/>
            </w:tcBorders>
          </w:tcPr>
          <w:p w14:paraId="08B06888" w14:textId="77777777" w:rsidR="00246C45" w:rsidRPr="00E82464" w:rsidRDefault="00246C45" w:rsidP="00246C45">
            <w:pPr>
              <w:pStyle w:val="ListParagraph"/>
              <w:ind w:left="0"/>
              <w:rPr>
                <w:rFonts w:eastAsia="Times New Roman" w:cs="Arial"/>
                <w:szCs w:val="20"/>
                <w:lang w:eastAsia="en-GB"/>
              </w:rPr>
            </w:pPr>
          </w:p>
        </w:tc>
        <w:tc>
          <w:tcPr>
            <w:tcW w:w="8816" w:type="dxa"/>
            <w:tcBorders>
              <w:top w:val="nil"/>
              <w:left w:val="nil"/>
              <w:bottom w:val="nil"/>
              <w:right w:val="nil"/>
            </w:tcBorders>
          </w:tcPr>
          <w:p w14:paraId="72A6D9E2" w14:textId="77777777" w:rsidR="00246C45" w:rsidRPr="00BA5AF4" w:rsidRDefault="00246C45" w:rsidP="00246C45">
            <w:pPr>
              <w:rPr>
                <w:rFonts w:ascii="Calibri" w:eastAsia="Times New Roman" w:hAnsi="Calibri" w:cs="Arial"/>
                <w:szCs w:val="20"/>
                <w:lang w:eastAsia="en-GB"/>
              </w:rPr>
            </w:pPr>
          </w:p>
        </w:tc>
      </w:tr>
      <w:tr w:rsidR="00246C45" w:rsidRPr="007D0DCD" w14:paraId="345C3FED" w14:textId="77777777" w:rsidTr="6006DEEF">
        <w:trPr>
          <w:trHeight w:hRule="exact" w:val="340"/>
        </w:trPr>
        <w:tc>
          <w:tcPr>
            <w:tcW w:w="817" w:type="dxa"/>
            <w:tcBorders>
              <w:top w:val="nil"/>
              <w:left w:val="nil"/>
              <w:bottom w:val="nil"/>
              <w:right w:val="nil"/>
            </w:tcBorders>
          </w:tcPr>
          <w:p w14:paraId="2E4D5C4F" w14:textId="77777777" w:rsidR="00246C45" w:rsidRPr="00E82464" w:rsidRDefault="00246C45" w:rsidP="00246C45">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68DAFE57" w14:textId="61B1C55D" w:rsidR="00246C45" w:rsidRPr="00601BEC" w:rsidRDefault="00246C45" w:rsidP="00246C45">
            <w:pPr>
              <w:pStyle w:val="Heading1"/>
              <w:rPr>
                <w:rFonts w:eastAsia="Cambria"/>
                <w:szCs w:val="24"/>
                <w:lang w:val="en-US"/>
              </w:rPr>
            </w:pPr>
            <w:bookmarkStart w:id="17" w:name="_Toc116910375"/>
            <w:r w:rsidRPr="006B16FC">
              <w:rPr>
                <w:lang w:val="en-US"/>
              </w:rPr>
              <w:t xml:space="preserve">MONITORING </w:t>
            </w:r>
            <w:r>
              <w:rPr>
                <w:lang w:val="en-US"/>
              </w:rPr>
              <w:t>AND REPORTING</w:t>
            </w:r>
            <w:bookmarkEnd w:id="17"/>
          </w:p>
        </w:tc>
      </w:tr>
      <w:tr w:rsidR="00246C45" w:rsidRPr="007D0DCD" w14:paraId="3ABF17A8" w14:textId="77777777" w:rsidTr="6006DEEF">
        <w:tc>
          <w:tcPr>
            <w:tcW w:w="817" w:type="dxa"/>
            <w:tcBorders>
              <w:top w:val="nil"/>
              <w:left w:val="nil"/>
              <w:bottom w:val="nil"/>
              <w:right w:val="nil"/>
            </w:tcBorders>
          </w:tcPr>
          <w:p w14:paraId="520D254A" w14:textId="77777777" w:rsidR="00246C45" w:rsidRPr="000D655A" w:rsidRDefault="00246C45" w:rsidP="00246C45">
            <w:pPr>
              <w:rPr>
                <w:rFonts w:eastAsia="Times New Roman" w:cs="Arial"/>
                <w:szCs w:val="20"/>
                <w:lang w:eastAsia="en-GB"/>
              </w:rPr>
            </w:pPr>
          </w:p>
        </w:tc>
        <w:tc>
          <w:tcPr>
            <w:tcW w:w="8816" w:type="dxa"/>
            <w:tcBorders>
              <w:top w:val="nil"/>
              <w:left w:val="nil"/>
              <w:bottom w:val="nil"/>
              <w:right w:val="nil"/>
            </w:tcBorders>
          </w:tcPr>
          <w:p w14:paraId="5D5C5894" w14:textId="33F90A6B" w:rsidR="00246C45" w:rsidRPr="00E67CFA" w:rsidRDefault="00246C45" w:rsidP="00246C45">
            <w:pPr>
              <w:rPr>
                <w:i/>
                <w:iCs/>
                <w:color w:val="A6A6A6" w:themeColor="background1" w:themeShade="A6"/>
                <w:lang w:val="en-US"/>
              </w:rPr>
            </w:pPr>
          </w:p>
        </w:tc>
      </w:tr>
      <w:tr w:rsidR="00246C45" w:rsidRPr="007D0DCD" w14:paraId="470AE2B7" w14:textId="77777777" w:rsidTr="6006DEEF">
        <w:tc>
          <w:tcPr>
            <w:tcW w:w="817" w:type="dxa"/>
            <w:tcBorders>
              <w:top w:val="nil"/>
              <w:left w:val="nil"/>
              <w:bottom w:val="nil"/>
              <w:right w:val="nil"/>
            </w:tcBorders>
          </w:tcPr>
          <w:p w14:paraId="4FFB6577" w14:textId="77777777" w:rsidR="00246C45" w:rsidRPr="00E82464" w:rsidRDefault="00246C45" w:rsidP="00246C45">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7A707379" w14:textId="50E5B819" w:rsidR="00246C45" w:rsidRPr="00BA5AF4" w:rsidRDefault="00246C45" w:rsidP="00246C45">
            <w:pPr>
              <w:rPr>
                <w:rFonts w:ascii="Calibri" w:eastAsia="Times New Roman" w:hAnsi="Calibri" w:cs="Arial"/>
                <w:szCs w:val="20"/>
                <w:lang w:eastAsia="en-GB"/>
              </w:rPr>
            </w:pPr>
            <w:r>
              <w:rPr>
                <w:rFonts w:ascii="Calibri" w:eastAsia="Times New Roman" w:hAnsi="Calibri" w:cs="Arial"/>
                <w:szCs w:val="20"/>
                <w:lang w:eastAsia="en-GB"/>
              </w:rPr>
              <w:t>The performance of Peaks &amp; Plains in setting rents annually and providing the appropriate notification to tenants of any changes in rent will be assessed by the RSH. Any failings in this area or performance on rent collection which affects the viability of Peaks &amp; Plains may be subject to regulatory control measures.</w:t>
            </w:r>
          </w:p>
        </w:tc>
      </w:tr>
      <w:tr w:rsidR="00246C45" w:rsidRPr="007D0DCD" w14:paraId="2AFA49DB" w14:textId="77777777" w:rsidTr="6006DEEF">
        <w:tc>
          <w:tcPr>
            <w:tcW w:w="817" w:type="dxa"/>
            <w:tcBorders>
              <w:top w:val="nil"/>
              <w:left w:val="nil"/>
              <w:bottom w:val="nil"/>
              <w:right w:val="nil"/>
            </w:tcBorders>
          </w:tcPr>
          <w:p w14:paraId="07A866C4" w14:textId="77777777" w:rsidR="00246C45" w:rsidRPr="00E82464" w:rsidRDefault="00246C45" w:rsidP="00246C45">
            <w:pPr>
              <w:pStyle w:val="ListParagraph"/>
              <w:ind w:left="0"/>
              <w:rPr>
                <w:rFonts w:eastAsia="Times New Roman" w:cs="Arial"/>
                <w:szCs w:val="20"/>
                <w:lang w:eastAsia="en-GB"/>
              </w:rPr>
            </w:pPr>
          </w:p>
        </w:tc>
        <w:tc>
          <w:tcPr>
            <w:tcW w:w="8816" w:type="dxa"/>
            <w:tcBorders>
              <w:top w:val="nil"/>
              <w:left w:val="nil"/>
              <w:bottom w:val="nil"/>
              <w:right w:val="nil"/>
            </w:tcBorders>
          </w:tcPr>
          <w:p w14:paraId="627B3056" w14:textId="77777777" w:rsidR="00246C45" w:rsidRPr="00BA5AF4" w:rsidRDefault="00246C45" w:rsidP="00246C45">
            <w:pPr>
              <w:rPr>
                <w:rFonts w:ascii="Calibri" w:eastAsia="Times New Roman" w:hAnsi="Calibri" w:cs="Arial"/>
                <w:szCs w:val="20"/>
                <w:lang w:eastAsia="en-GB"/>
              </w:rPr>
            </w:pPr>
          </w:p>
        </w:tc>
      </w:tr>
      <w:tr w:rsidR="00246C45" w:rsidRPr="007D0DCD" w14:paraId="46FF3840" w14:textId="77777777" w:rsidTr="6006DEEF">
        <w:tc>
          <w:tcPr>
            <w:tcW w:w="817" w:type="dxa"/>
            <w:tcBorders>
              <w:top w:val="nil"/>
              <w:left w:val="nil"/>
              <w:bottom w:val="nil"/>
              <w:right w:val="nil"/>
            </w:tcBorders>
          </w:tcPr>
          <w:p w14:paraId="38118486" w14:textId="77777777" w:rsidR="00246C45" w:rsidRPr="00E82464" w:rsidRDefault="00246C45" w:rsidP="00246C45">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315D0FD" w14:textId="15520606" w:rsidR="00246C45" w:rsidRPr="00BA5AF4" w:rsidRDefault="00246C45" w:rsidP="00246C45">
            <w:pPr>
              <w:rPr>
                <w:rFonts w:ascii="Calibri" w:eastAsia="Times New Roman" w:hAnsi="Calibri" w:cs="Arial"/>
                <w:szCs w:val="20"/>
                <w:lang w:eastAsia="en-GB"/>
              </w:rPr>
            </w:pPr>
            <w:r w:rsidRPr="00856B8E">
              <w:rPr>
                <w:rFonts w:ascii="Calibri" w:eastAsia="Times New Roman" w:hAnsi="Calibri" w:cs="Arial"/>
                <w:szCs w:val="20"/>
                <w:lang w:eastAsia="en-GB"/>
              </w:rPr>
              <w:t>Performance on setting rents and sending appropriate notification will be reported to the Board</w:t>
            </w:r>
            <w:r>
              <w:rPr>
                <w:rFonts w:ascii="Calibri" w:eastAsia="Times New Roman" w:hAnsi="Calibri" w:cs="Arial"/>
                <w:szCs w:val="20"/>
                <w:lang w:eastAsia="en-GB"/>
              </w:rPr>
              <w:t xml:space="preserve"> and will also be subject to scrutiny by internal and external auditors.</w:t>
            </w:r>
          </w:p>
        </w:tc>
      </w:tr>
      <w:tr w:rsidR="00246C45" w:rsidRPr="007D0DCD" w14:paraId="2EAF5D52" w14:textId="77777777" w:rsidTr="6006DEEF">
        <w:tc>
          <w:tcPr>
            <w:tcW w:w="817" w:type="dxa"/>
            <w:tcBorders>
              <w:top w:val="nil"/>
              <w:left w:val="nil"/>
              <w:bottom w:val="nil"/>
              <w:right w:val="nil"/>
            </w:tcBorders>
          </w:tcPr>
          <w:p w14:paraId="44F07460" w14:textId="77777777" w:rsidR="00246C45" w:rsidRPr="00E82464" w:rsidRDefault="00246C45" w:rsidP="00246C45">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57AD4EA8" w14:textId="4A14001A" w:rsidR="00246C45" w:rsidRPr="00856B8E" w:rsidRDefault="00246C45" w:rsidP="00246C45">
            <w:pPr>
              <w:rPr>
                <w:rFonts w:ascii="Calibri" w:eastAsia="Times New Roman" w:hAnsi="Calibri" w:cs="Arial"/>
                <w:szCs w:val="20"/>
                <w:lang w:eastAsia="en-GB"/>
              </w:rPr>
            </w:pPr>
            <w:r>
              <w:rPr>
                <w:rFonts w:ascii="Calibri" w:eastAsia="Times New Roman" w:hAnsi="Calibri" w:cs="Arial"/>
                <w:szCs w:val="20"/>
                <w:lang w:eastAsia="en-GB"/>
              </w:rPr>
              <w:t>Complaints received regarding the setting of individual rents or in communicating the rent to customers will be handled in accordance with the</w:t>
            </w:r>
            <w:r w:rsidR="00DA35CA">
              <w:rPr>
                <w:rFonts w:ascii="Calibri" w:eastAsia="Times New Roman" w:hAnsi="Calibri" w:cs="Arial"/>
                <w:szCs w:val="20"/>
                <w:lang w:eastAsia="en-GB"/>
              </w:rPr>
              <w:t xml:space="preserve"> </w:t>
            </w:r>
            <w:r>
              <w:rPr>
                <w:rFonts w:ascii="Calibri" w:eastAsia="Times New Roman" w:hAnsi="Calibri" w:cs="Arial"/>
                <w:szCs w:val="20"/>
                <w:lang w:eastAsia="en-GB"/>
              </w:rPr>
              <w:t>Complaints Policy.</w:t>
            </w:r>
          </w:p>
        </w:tc>
      </w:tr>
      <w:tr w:rsidR="00246C45" w:rsidRPr="007D0DCD" w14:paraId="0FBF4715" w14:textId="77777777" w:rsidTr="6006DEEF">
        <w:tc>
          <w:tcPr>
            <w:tcW w:w="817" w:type="dxa"/>
            <w:tcBorders>
              <w:top w:val="nil"/>
              <w:left w:val="nil"/>
              <w:bottom w:val="nil"/>
              <w:right w:val="nil"/>
            </w:tcBorders>
          </w:tcPr>
          <w:p w14:paraId="7D1C543E" w14:textId="77777777" w:rsidR="00246C45" w:rsidRPr="00E82464" w:rsidRDefault="00246C45" w:rsidP="00246C45">
            <w:pPr>
              <w:pStyle w:val="ListParagraph"/>
              <w:ind w:left="0"/>
              <w:rPr>
                <w:rFonts w:eastAsia="Times New Roman" w:cs="Arial"/>
                <w:szCs w:val="20"/>
                <w:lang w:eastAsia="en-GB"/>
              </w:rPr>
            </w:pPr>
          </w:p>
        </w:tc>
        <w:tc>
          <w:tcPr>
            <w:tcW w:w="8816" w:type="dxa"/>
            <w:tcBorders>
              <w:top w:val="nil"/>
              <w:left w:val="nil"/>
              <w:bottom w:val="nil"/>
              <w:right w:val="nil"/>
            </w:tcBorders>
          </w:tcPr>
          <w:p w14:paraId="42D8BC5E" w14:textId="77777777" w:rsidR="00246C45" w:rsidRPr="00BA5AF4" w:rsidRDefault="00246C45" w:rsidP="00246C45">
            <w:pPr>
              <w:rPr>
                <w:rFonts w:ascii="Calibri" w:eastAsia="Times New Roman" w:hAnsi="Calibri" w:cs="Arial"/>
                <w:szCs w:val="20"/>
                <w:lang w:eastAsia="en-GB"/>
              </w:rPr>
            </w:pPr>
          </w:p>
        </w:tc>
      </w:tr>
      <w:tr w:rsidR="00246C45" w:rsidRPr="007D0DCD" w14:paraId="0E2373E6" w14:textId="77777777" w:rsidTr="6006DEEF">
        <w:tc>
          <w:tcPr>
            <w:tcW w:w="817" w:type="dxa"/>
            <w:tcBorders>
              <w:top w:val="nil"/>
              <w:left w:val="nil"/>
              <w:bottom w:val="nil"/>
              <w:right w:val="nil"/>
            </w:tcBorders>
          </w:tcPr>
          <w:p w14:paraId="10EFD183" w14:textId="77777777" w:rsidR="00246C45" w:rsidRPr="00E82464" w:rsidRDefault="00246C45" w:rsidP="00246C45">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5B4556E5" w14:textId="394E24D1" w:rsidR="00246C45" w:rsidRPr="00601BEC" w:rsidRDefault="00246C45" w:rsidP="00246C45">
            <w:pPr>
              <w:pStyle w:val="Heading1"/>
              <w:rPr>
                <w:rFonts w:cs="Arial"/>
                <w:szCs w:val="20"/>
                <w:lang w:eastAsia="en-GB"/>
              </w:rPr>
            </w:pPr>
            <w:bookmarkStart w:id="18" w:name="_Toc116910376"/>
            <w:r w:rsidRPr="00601BEC">
              <w:rPr>
                <w:lang w:val="en-US"/>
              </w:rPr>
              <w:t>CONSULTATION</w:t>
            </w:r>
            <w:bookmarkEnd w:id="18"/>
          </w:p>
        </w:tc>
      </w:tr>
      <w:tr w:rsidR="00246C45" w:rsidRPr="007D0DCD" w14:paraId="3C8620D2" w14:textId="77777777" w:rsidTr="6006DEEF">
        <w:tc>
          <w:tcPr>
            <w:tcW w:w="817" w:type="dxa"/>
            <w:tcBorders>
              <w:top w:val="nil"/>
              <w:left w:val="nil"/>
              <w:bottom w:val="nil"/>
              <w:right w:val="nil"/>
            </w:tcBorders>
          </w:tcPr>
          <w:p w14:paraId="19BB5D00" w14:textId="77777777" w:rsidR="00246C45" w:rsidRPr="000D655A" w:rsidRDefault="00246C45" w:rsidP="00246C45">
            <w:pPr>
              <w:rPr>
                <w:rFonts w:eastAsia="Times New Roman" w:cs="Arial"/>
                <w:szCs w:val="20"/>
                <w:lang w:eastAsia="en-GB"/>
              </w:rPr>
            </w:pPr>
          </w:p>
        </w:tc>
        <w:tc>
          <w:tcPr>
            <w:tcW w:w="8816" w:type="dxa"/>
            <w:tcBorders>
              <w:top w:val="nil"/>
              <w:left w:val="nil"/>
              <w:bottom w:val="nil"/>
              <w:right w:val="nil"/>
            </w:tcBorders>
          </w:tcPr>
          <w:p w14:paraId="43EB7F79" w14:textId="2142DDD1" w:rsidR="00246C45" w:rsidRPr="00B06B2A" w:rsidRDefault="00246C45" w:rsidP="00246C45">
            <w:pPr>
              <w:rPr>
                <w:b/>
                <w:bCs/>
                <w:i/>
                <w:iCs/>
                <w:color w:val="A6A6A6" w:themeColor="background1" w:themeShade="A6"/>
                <w:lang w:val="en-US"/>
              </w:rPr>
            </w:pPr>
          </w:p>
        </w:tc>
      </w:tr>
      <w:tr w:rsidR="00246C45" w:rsidRPr="007D0DCD" w14:paraId="4352E24B" w14:textId="77777777" w:rsidTr="6006DEEF">
        <w:tc>
          <w:tcPr>
            <w:tcW w:w="817" w:type="dxa"/>
            <w:tcBorders>
              <w:top w:val="nil"/>
              <w:left w:val="nil"/>
              <w:bottom w:val="nil"/>
              <w:right w:val="nil"/>
            </w:tcBorders>
          </w:tcPr>
          <w:p w14:paraId="180BAB10" w14:textId="77777777" w:rsidR="00246C45" w:rsidRPr="00E82464" w:rsidRDefault="00246C45" w:rsidP="00246C45">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12AE49D3" w14:textId="5801FECC" w:rsidR="00246C45" w:rsidRPr="00BA5AF4" w:rsidRDefault="00246C45" w:rsidP="00246C45">
            <w:pPr>
              <w:rPr>
                <w:rFonts w:ascii="Calibri" w:eastAsia="Times New Roman" w:hAnsi="Calibri" w:cs="Arial"/>
                <w:szCs w:val="20"/>
                <w:lang w:eastAsia="en-GB"/>
              </w:rPr>
            </w:pPr>
            <w:r w:rsidRPr="00BA5AF4">
              <w:rPr>
                <w:rFonts w:ascii="Calibri" w:eastAsia="Times New Roman" w:hAnsi="Calibri" w:cs="Helvetica"/>
                <w:szCs w:val="23"/>
                <w:lang w:eastAsia="en-GB"/>
              </w:rPr>
              <w:t xml:space="preserve">The Trust </w:t>
            </w:r>
            <w:r>
              <w:rPr>
                <w:rFonts w:ascii="Calibri" w:eastAsia="Times New Roman" w:hAnsi="Calibri" w:cs="Helvetica"/>
                <w:szCs w:val="23"/>
                <w:lang w:eastAsia="en-GB"/>
              </w:rPr>
              <w:t>have consulted</w:t>
            </w:r>
            <w:r w:rsidRPr="00BA5AF4">
              <w:rPr>
                <w:rFonts w:ascii="Calibri" w:eastAsia="Times New Roman" w:hAnsi="Calibri" w:cs="Helvetica"/>
                <w:szCs w:val="23"/>
                <w:lang w:eastAsia="en-GB"/>
              </w:rPr>
              <w:t xml:space="preserve"> with tenants in the</w:t>
            </w:r>
            <w:r>
              <w:rPr>
                <w:rFonts w:ascii="Calibri" w:eastAsia="Times New Roman" w:hAnsi="Calibri" w:cs="Helvetica"/>
                <w:szCs w:val="23"/>
                <w:lang w:eastAsia="en-GB"/>
              </w:rPr>
              <w:t xml:space="preserve"> initial</w:t>
            </w:r>
            <w:r w:rsidRPr="00BA5AF4">
              <w:rPr>
                <w:rFonts w:ascii="Calibri" w:eastAsia="Times New Roman" w:hAnsi="Calibri" w:cs="Helvetica"/>
                <w:szCs w:val="23"/>
                <w:lang w:eastAsia="en-GB"/>
              </w:rPr>
              <w:t xml:space="preserve"> development of this policy</w:t>
            </w:r>
            <w:r w:rsidR="008A1EB2">
              <w:rPr>
                <w:rFonts w:ascii="Calibri" w:eastAsia="Times New Roman" w:hAnsi="Calibri" w:cs="Helvetica"/>
                <w:szCs w:val="23"/>
                <w:lang w:eastAsia="en-GB"/>
              </w:rPr>
              <w:t xml:space="preserve"> and the policy is reviewed by Challenge Group on an annual basis</w:t>
            </w:r>
            <w:r w:rsidRPr="00BA5AF4">
              <w:rPr>
                <w:rFonts w:ascii="Calibri" w:eastAsia="Times New Roman" w:hAnsi="Calibri" w:cs="Helvetica"/>
                <w:szCs w:val="23"/>
                <w:lang w:eastAsia="en-GB"/>
              </w:rPr>
              <w:t>. The Trust will regularly review internal procedures to ensure they are fit for purpose and in line with best practice. Changes in legislation may also impact on this Policy. If a change in procedure or legislation affects this Policy, the Policy will be updated and reviewed by Board for approval</w:t>
            </w:r>
            <w:r w:rsidR="008A1EB2">
              <w:rPr>
                <w:rFonts w:ascii="Calibri" w:eastAsia="Times New Roman" w:hAnsi="Calibri" w:cs="Helvetica"/>
                <w:szCs w:val="23"/>
                <w:lang w:eastAsia="en-GB"/>
              </w:rPr>
              <w:t xml:space="preserve"> and a</w:t>
            </w:r>
            <w:r>
              <w:rPr>
                <w:rFonts w:ascii="Calibri" w:eastAsia="Times New Roman" w:hAnsi="Calibri" w:cs="Helvetica"/>
                <w:szCs w:val="23"/>
                <w:lang w:eastAsia="en-GB"/>
              </w:rPr>
              <w:t>ny changes will also be notified to Challenge Group.</w:t>
            </w:r>
          </w:p>
        </w:tc>
      </w:tr>
      <w:tr w:rsidR="00246C45" w:rsidRPr="007D0DCD" w14:paraId="23F87246" w14:textId="77777777" w:rsidTr="6006DEEF">
        <w:tc>
          <w:tcPr>
            <w:tcW w:w="817" w:type="dxa"/>
            <w:tcBorders>
              <w:top w:val="nil"/>
              <w:left w:val="nil"/>
              <w:bottom w:val="nil"/>
              <w:right w:val="nil"/>
            </w:tcBorders>
          </w:tcPr>
          <w:p w14:paraId="07AF8BC8" w14:textId="77777777" w:rsidR="00246C45" w:rsidRPr="000D655A" w:rsidRDefault="00246C45" w:rsidP="00246C45">
            <w:pPr>
              <w:rPr>
                <w:rFonts w:eastAsia="Times New Roman" w:cs="Arial"/>
                <w:szCs w:val="20"/>
                <w:lang w:eastAsia="en-GB"/>
              </w:rPr>
            </w:pPr>
          </w:p>
        </w:tc>
        <w:tc>
          <w:tcPr>
            <w:tcW w:w="8816" w:type="dxa"/>
            <w:tcBorders>
              <w:top w:val="nil"/>
              <w:left w:val="nil"/>
              <w:bottom w:val="nil"/>
              <w:right w:val="nil"/>
            </w:tcBorders>
          </w:tcPr>
          <w:p w14:paraId="749219E6" w14:textId="77777777" w:rsidR="00246C45" w:rsidRPr="00BA5AF4" w:rsidRDefault="00246C45" w:rsidP="00246C45">
            <w:pPr>
              <w:rPr>
                <w:rFonts w:ascii="Calibri" w:eastAsia="Times New Roman" w:hAnsi="Calibri" w:cs="Arial"/>
                <w:szCs w:val="20"/>
                <w:lang w:eastAsia="en-GB"/>
              </w:rPr>
            </w:pPr>
          </w:p>
        </w:tc>
      </w:tr>
      <w:tr w:rsidR="00246C45" w:rsidRPr="007D0DCD" w14:paraId="5791F3CB" w14:textId="77777777" w:rsidTr="6006DEEF">
        <w:trPr>
          <w:trHeight w:hRule="exact" w:val="284"/>
        </w:trPr>
        <w:tc>
          <w:tcPr>
            <w:tcW w:w="817" w:type="dxa"/>
            <w:tcBorders>
              <w:top w:val="nil"/>
              <w:left w:val="nil"/>
              <w:bottom w:val="nil"/>
              <w:right w:val="nil"/>
            </w:tcBorders>
          </w:tcPr>
          <w:p w14:paraId="02A79FCB" w14:textId="77777777" w:rsidR="00246C45" w:rsidRPr="00E82464" w:rsidRDefault="00246C45" w:rsidP="00246C45">
            <w:pPr>
              <w:pStyle w:val="ListParagraph"/>
              <w:numPr>
                <w:ilvl w:val="0"/>
                <w:numId w:val="5"/>
              </w:numPr>
              <w:rPr>
                <w:rFonts w:eastAsia="Times New Roman" w:cs="Arial"/>
                <w:szCs w:val="20"/>
                <w:lang w:eastAsia="en-GB"/>
              </w:rPr>
            </w:pPr>
          </w:p>
        </w:tc>
        <w:tc>
          <w:tcPr>
            <w:tcW w:w="8816" w:type="dxa"/>
            <w:tcBorders>
              <w:top w:val="nil"/>
              <w:left w:val="nil"/>
              <w:bottom w:val="nil"/>
              <w:right w:val="nil"/>
            </w:tcBorders>
          </w:tcPr>
          <w:p w14:paraId="73A9E3B8" w14:textId="674B54B0" w:rsidR="00246C45" w:rsidRPr="00601BEC" w:rsidRDefault="00246C45" w:rsidP="00246C45">
            <w:pPr>
              <w:pStyle w:val="Heading1"/>
              <w:rPr>
                <w:rFonts w:eastAsia="Cambria"/>
                <w:szCs w:val="24"/>
                <w:lang w:val="en-US"/>
              </w:rPr>
            </w:pPr>
            <w:bookmarkStart w:id="19" w:name="_Toc116910377"/>
            <w:r w:rsidRPr="00C305C0">
              <w:rPr>
                <w:lang w:val="en-US"/>
              </w:rPr>
              <w:t>REVIEW</w:t>
            </w:r>
            <w:bookmarkEnd w:id="19"/>
            <w:r w:rsidRPr="00C305C0">
              <w:rPr>
                <w:lang w:val="en-US"/>
              </w:rPr>
              <w:t xml:space="preserve">  </w:t>
            </w:r>
          </w:p>
        </w:tc>
      </w:tr>
      <w:tr w:rsidR="00246C45" w:rsidRPr="007D0DCD" w14:paraId="54F327F0" w14:textId="77777777" w:rsidTr="6006DEEF">
        <w:tc>
          <w:tcPr>
            <w:tcW w:w="817" w:type="dxa"/>
            <w:tcBorders>
              <w:top w:val="nil"/>
              <w:left w:val="nil"/>
              <w:bottom w:val="nil"/>
              <w:right w:val="nil"/>
            </w:tcBorders>
          </w:tcPr>
          <w:p w14:paraId="15429D86" w14:textId="77777777" w:rsidR="00246C45" w:rsidRPr="000D655A" w:rsidRDefault="00246C45" w:rsidP="00246C45">
            <w:pPr>
              <w:rPr>
                <w:rFonts w:eastAsia="Times New Roman" w:cs="Arial"/>
                <w:szCs w:val="20"/>
                <w:lang w:eastAsia="en-GB"/>
              </w:rPr>
            </w:pPr>
          </w:p>
        </w:tc>
        <w:tc>
          <w:tcPr>
            <w:tcW w:w="8816" w:type="dxa"/>
            <w:tcBorders>
              <w:top w:val="nil"/>
              <w:left w:val="nil"/>
              <w:bottom w:val="nil"/>
              <w:right w:val="nil"/>
            </w:tcBorders>
          </w:tcPr>
          <w:p w14:paraId="37A1CAF0" w14:textId="61218FD9" w:rsidR="00246C45" w:rsidRPr="00E905ED" w:rsidRDefault="00246C45" w:rsidP="00246C45">
            <w:pPr>
              <w:rPr>
                <w:i/>
                <w:iCs/>
                <w:color w:val="A6A6A6" w:themeColor="background1" w:themeShade="A6"/>
                <w:lang w:val="en-US"/>
              </w:rPr>
            </w:pPr>
          </w:p>
        </w:tc>
      </w:tr>
      <w:tr w:rsidR="00246C45" w:rsidRPr="007D0DCD" w14:paraId="797154B9" w14:textId="77777777" w:rsidTr="6006DEEF">
        <w:tc>
          <w:tcPr>
            <w:tcW w:w="817" w:type="dxa"/>
            <w:tcBorders>
              <w:top w:val="nil"/>
              <w:left w:val="nil"/>
              <w:bottom w:val="nil"/>
              <w:right w:val="nil"/>
            </w:tcBorders>
          </w:tcPr>
          <w:p w14:paraId="0F4FF85C" w14:textId="77777777" w:rsidR="00246C45" w:rsidRPr="00E82464" w:rsidRDefault="00246C45" w:rsidP="00246C45">
            <w:pPr>
              <w:pStyle w:val="ListParagraph"/>
              <w:numPr>
                <w:ilvl w:val="1"/>
                <w:numId w:val="5"/>
              </w:numPr>
              <w:rPr>
                <w:rFonts w:eastAsia="Times New Roman" w:cs="Arial"/>
                <w:szCs w:val="20"/>
                <w:lang w:eastAsia="en-GB"/>
              </w:rPr>
            </w:pPr>
          </w:p>
        </w:tc>
        <w:tc>
          <w:tcPr>
            <w:tcW w:w="8816" w:type="dxa"/>
            <w:tcBorders>
              <w:top w:val="nil"/>
              <w:left w:val="nil"/>
              <w:bottom w:val="nil"/>
              <w:right w:val="nil"/>
            </w:tcBorders>
          </w:tcPr>
          <w:p w14:paraId="09F7908E" w14:textId="7880498A" w:rsidR="00246C45" w:rsidRPr="00BA5AF4" w:rsidRDefault="00246C45" w:rsidP="00246C45">
            <w:pPr>
              <w:rPr>
                <w:rFonts w:ascii="Calibri" w:eastAsia="Times New Roman" w:hAnsi="Calibri" w:cs="Arial"/>
                <w:szCs w:val="20"/>
                <w:lang w:eastAsia="en-GB"/>
              </w:rPr>
            </w:pPr>
            <w:r>
              <w:rPr>
                <w:rFonts w:ascii="Calibri" w:hAnsi="Calibri"/>
              </w:rPr>
              <w:t>The Trust Board will review and approve any changes to rent setting on an annual basis.</w:t>
            </w:r>
          </w:p>
        </w:tc>
      </w:tr>
      <w:tr w:rsidR="00246C45" w:rsidRPr="007D0DCD" w14:paraId="7FAF7CF0" w14:textId="77777777" w:rsidTr="6006DEEF">
        <w:tc>
          <w:tcPr>
            <w:tcW w:w="817" w:type="dxa"/>
            <w:tcBorders>
              <w:top w:val="nil"/>
              <w:left w:val="nil"/>
              <w:bottom w:val="nil"/>
              <w:right w:val="nil"/>
            </w:tcBorders>
          </w:tcPr>
          <w:p w14:paraId="0BCC45CE" w14:textId="77777777" w:rsidR="00246C45" w:rsidRPr="000D655A" w:rsidRDefault="00246C45" w:rsidP="00246C45">
            <w:pPr>
              <w:rPr>
                <w:rFonts w:eastAsia="Times New Roman" w:cs="Arial"/>
                <w:szCs w:val="20"/>
                <w:lang w:eastAsia="en-GB"/>
              </w:rPr>
            </w:pPr>
          </w:p>
        </w:tc>
        <w:tc>
          <w:tcPr>
            <w:tcW w:w="8816" w:type="dxa"/>
            <w:tcBorders>
              <w:top w:val="nil"/>
              <w:left w:val="nil"/>
              <w:bottom w:val="nil"/>
              <w:right w:val="nil"/>
            </w:tcBorders>
          </w:tcPr>
          <w:p w14:paraId="369EA868" w14:textId="77777777" w:rsidR="00246C45" w:rsidRPr="00BA5AF4" w:rsidRDefault="00246C45" w:rsidP="00246C45">
            <w:pPr>
              <w:rPr>
                <w:rFonts w:ascii="Calibri" w:eastAsia="Times New Roman" w:hAnsi="Calibri" w:cs="Arial"/>
                <w:szCs w:val="20"/>
                <w:lang w:eastAsia="en-GB"/>
              </w:rPr>
            </w:pPr>
          </w:p>
        </w:tc>
      </w:tr>
      <w:tr w:rsidR="00246C45" w:rsidRPr="007D0DCD" w14:paraId="6048E7F9" w14:textId="77777777" w:rsidTr="6006DEEF">
        <w:tc>
          <w:tcPr>
            <w:tcW w:w="817" w:type="dxa"/>
            <w:tcBorders>
              <w:top w:val="nil"/>
              <w:left w:val="nil"/>
              <w:bottom w:val="nil"/>
              <w:right w:val="nil"/>
            </w:tcBorders>
          </w:tcPr>
          <w:p w14:paraId="0A58F741" w14:textId="77777777" w:rsidR="00246C45" w:rsidRPr="00E82464" w:rsidRDefault="00246C45" w:rsidP="00246C45">
            <w:pPr>
              <w:pStyle w:val="ListParagraph"/>
              <w:numPr>
                <w:ilvl w:val="2"/>
                <w:numId w:val="5"/>
              </w:numPr>
              <w:rPr>
                <w:rFonts w:eastAsia="Times New Roman" w:cs="Arial"/>
                <w:szCs w:val="20"/>
                <w:lang w:eastAsia="en-GB"/>
              </w:rPr>
            </w:pPr>
          </w:p>
        </w:tc>
        <w:tc>
          <w:tcPr>
            <w:tcW w:w="8816" w:type="dxa"/>
            <w:tcBorders>
              <w:top w:val="nil"/>
              <w:left w:val="nil"/>
              <w:bottom w:val="nil"/>
              <w:right w:val="nil"/>
            </w:tcBorders>
          </w:tcPr>
          <w:p w14:paraId="12123A07" w14:textId="74F72B79" w:rsidR="00246C45" w:rsidRPr="00BA5AF4" w:rsidRDefault="00246C45" w:rsidP="00246C45">
            <w:pPr>
              <w:rPr>
                <w:rFonts w:ascii="Calibri" w:eastAsia="Times New Roman" w:hAnsi="Calibri" w:cs="Arial"/>
                <w:szCs w:val="20"/>
                <w:lang w:eastAsia="en-GB"/>
              </w:rPr>
            </w:pPr>
            <w:r>
              <w:rPr>
                <w:rFonts w:ascii="Calibri" w:eastAsia="Times New Roman" w:hAnsi="Calibri" w:cs="Arial"/>
                <w:szCs w:val="20"/>
                <w:lang w:eastAsia="en-GB"/>
              </w:rPr>
              <w:t>The policy will be reviewed sooner if there are any major legal, regulatory or other changes which make this necessary.</w:t>
            </w:r>
          </w:p>
        </w:tc>
      </w:tr>
      <w:tr w:rsidR="00246C45" w:rsidRPr="007D0DCD" w14:paraId="25693375" w14:textId="77777777" w:rsidTr="6006DEEF">
        <w:tc>
          <w:tcPr>
            <w:tcW w:w="817" w:type="dxa"/>
            <w:tcBorders>
              <w:top w:val="nil"/>
              <w:left w:val="nil"/>
              <w:bottom w:val="nil"/>
              <w:right w:val="nil"/>
            </w:tcBorders>
          </w:tcPr>
          <w:p w14:paraId="4B92EAC5" w14:textId="77777777" w:rsidR="00246C45" w:rsidRPr="000D655A" w:rsidRDefault="00246C45" w:rsidP="00246C45">
            <w:pPr>
              <w:rPr>
                <w:rFonts w:eastAsia="Times New Roman" w:cs="Arial"/>
                <w:szCs w:val="20"/>
                <w:lang w:eastAsia="en-GB"/>
              </w:rPr>
            </w:pPr>
          </w:p>
        </w:tc>
        <w:tc>
          <w:tcPr>
            <w:tcW w:w="8816" w:type="dxa"/>
            <w:tcBorders>
              <w:top w:val="nil"/>
              <w:left w:val="nil"/>
              <w:bottom w:val="nil"/>
              <w:right w:val="nil"/>
            </w:tcBorders>
          </w:tcPr>
          <w:p w14:paraId="5E4558B6" w14:textId="77777777" w:rsidR="00246C45" w:rsidRPr="00BA5AF4" w:rsidRDefault="00246C45" w:rsidP="00246C45">
            <w:pPr>
              <w:rPr>
                <w:rFonts w:ascii="Calibri" w:eastAsia="Times New Roman" w:hAnsi="Calibri" w:cs="Arial"/>
                <w:szCs w:val="20"/>
                <w:lang w:eastAsia="en-GB"/>
              </w:rPr>
            </w:pPr>
          </w:p>
        </w:tc>
      </w:tr>
      <w:tr w:rsidR="00246C45" w:rsidRPr="007D0DCD" w14:paraId="755EF97B" w14:textId="77777777" w:rsidTr="6006DEEF">
        <w:tc>
          <w:tcPr>
            <w:tcW w:w="817" w:type="dxa"/>
            <w:tcBorders>
              <w:top w:val="nil"/>
              <w:left w:val="nil"/>
              <w:bottom w:val="nil"/>
              <w:right w:val="nil"/>
            </w:tcBorders>
          </w:tcPr>
          <w:p w14:paraId="214815CE" w14:textId="77777777" w:rsidR="00246C45" w:rsidRPr="000D655A" w:rsidRDefault="00246C45" w:rsidP="00246C45">
            <w:pPr>
              <w:rPr>
                <w:rFonts w:eastAsia="Times New Roman" w:cs="Arial"/>
                <w:szCs w:val="20"/>
                <w:lang w:eastAsia="en-GB"/>
              </w:rPr>
            </w:pPr>
          </w:p>
        </w:tc>
        <w:tc>
          <w:tcPr>
            <w:tcW w:w="8816" w:type="dxa"/>
            <w:tcBorders>
              <w:top w:val="nil"/>
              <w:left w:val="nil"/>
              <w:bottom w:val="nil"/>
              <w:right w:val="nil"/>
            </w:tcBorders>
          </w:tcPr>
          <w:p w14:paraId="65793123" w14:textId="433D3F69" w:rsidR="00246C45" w:rsidRPr="000D655A" w:rsidRDefault="00246C45" w:rsidP="00246C45">
            <w:pPr>
              <w:pStyle w:val="Heading1"/>
              <w:rPr>
                <w:rFonts w:cs="Arial"/>
                <w:szCs w:val="20"/>
                <w:lang w:eastAsia="en-GB"/>
              </w:rPr>
            </w:pPr>
            <w:bookmarkStart w:id="20" w:name="_Toc116910378"/>
            <w:r w:rsidRPr="000D655A">
              <w:t>ASSOCIATED DOCUMENTS</w:t>
            </w:r>
            <w:bookmarkEnd w:id="20"/>
          </w:p>
        </w:tc>
      </w:tr>
      <w:tr w:rsidR="00246C45" w:rsidRPr="007D0DCD" w14:paraId="05904695" w14:textId="77777777" w:rsidTr="6006DEEF">
        <w:tc>
          <w:tcPr>
            <w:tcW w:w="817" w:type="dxa"/>
            <w:tcBorders>
              <w:top w:val="nil"/>
              <w:left w:val="nil"/>
              <w:bottom w:val="nil"/>
              <w:right w:val="nil"/>
            </w:tcBorders>
          </w:tcPr>
          <w:p w14:paraId="0DB3FD50" w14:textId="77777777" w:rsidR="00246C45" w:rsidRPr="00B2247A" w:rsidRDefault="00246C45" w:rsidP="00246C45">
            <w:pPr>
              <w:rPr>
                <w:rFonts w:eastAsia="Times New Roman" w:cs="Arial"/>
                <w:szCs w:val="20"/>
                <w:lang w:eastAsia="en-GB"/>
              </w:rPr>
            </w:pPr>
          </w:p>
        </w:tc>
        <w:tc>
          <w:tcPr>
            <w:tcW w:w="8816" w:type="dxa"/>
            <w:tcBorders>
              <w:top w:val="nil"/>
              <w:left w:val="nil"/>
              <w:bottom w:val="nil"/>
              <w:right w:val="nil"/>
            </w:tcBorders>
          </w:tcPr>
          <w:p w14:paraId="64C53E9B" w14:textId="77777777" w:rsidR="00246C45" w:rsidRDefault="00246C45" w:rsidP="00246C45">
            <w:pPr>
              <w:pStyle w:val="ListBullet1"/>
              <w:numPr>
                <w:ilvl w:val="0"/>
                <w:numId w:val="0"/>
              </w:numPr>
              <w:ind w:left="720"/>
              <w:jc w:val="left"/>
            </w:pPr>
          </w:p>
          <w:p w14:paraId="25F7FB61" w14:textId="7602CED2" w:rsidR="00246C45" w:rsidRPr="00B2247A" w:rsidRDefault="00246C45" w:rsidP="00246C45">
            <w:pPr>
              <w:pStyle w:val="ListBullet1"/>
              <w:jc w:val="left"/>
            </w:pPr>
            <w:r w:rsidRPr="00B2247A">
              <w:t>The Trust’s Rent Plan</w:t>
            </w:r>
          </w:p>
          <w:p w14:paraId="35737F92" w14:textId="77777777" w:rsidR="00246C45" w:rsidRPr="00B2247A" w:rsidRDefault="00246C45" w:rsidP="00246C45">
            <w:pPr>
              <w:pStyle w:val="ListBullet1"/>
              <w:jc w:val="left"/>
            </w:pPr>
            <w:r w:rsidRPr="00B2247A">
              <w:t>The Trust’s Business Plan</w:t>
            </w:r>
          </w:p>
          <w:p w14:paraId="2AF1DAE2" w14:textId="77777777" w:rsidR="00246C45" w:rsidRPr="00B2247A" w:rsidRDefault="00246C45" w:rsidP="00246C45">
            <w:pPr>
              <w:pStyle w:val="ListBullet1"/>
              <w:jc w:val="left"/>
            </w:pPr>
            <w:r w:rsidRPr="00B2247A">
              <w:t>Rent Setting Procedures and Flowcharts</w:t>
            </w:r>
          </w:p>
          <w:p w14:paraId="1B66D796" w14:textId="77777777" w:rsidR="00246C45" w:rsidRPr="00B2247A" w:rsidRDefault="00246C45" w:rsidP="00246C45">
            <w:pPr>
              <w:pStyle w:val="ListBullet1"/>
              <w:jc w:val="left"/>
            </w:pPr>
            <w:r w:rsidRPr="00B2247A">
              <w:t>Rent Collection and Arrears Management Policy</w:t>
            </w:r>
          </w:p>
          <w:p w14:paraId="536953E8" w14:textId="77777777" w:rsidR="00246C45" w:rsidRPr="00B2247A" w:rsidRDefault="00246C45" w:rsidP="00246C45">
            <w:pPr>
              <w:pStyle w:val="ListBullet1"/>
              <w:jc w:val="left"/>
            </w:pPr>
            <w:r w:rsidRPr="00B2247A">
              <w:t>Corporate Debt Policy</w:t>
            </w:r>
          </w:p>
          <w:p w14:paraId="0AC4D0E3" w14:textId="77777777" w:rsidR="00246C45" w:rsidRPr="00B2247A" w:rsidRDefault="00246C45" w:rsidP="00246C45">
            <w:pPr>
              <w:pStyle w:val="ListBullet1"/>
              <w:jc w:val="left"/>
            </w:pPr>
            <w:r w:rsidRPr="00B2247A">
              <w:t>Debt Write Off Policy</w:t>
            </w:r>
          </w:p>
          <w:p w14:paraId="3B8E53A1" w14:textId="41D0E81D" w:rsidR="00246C45" w:rsidRPr="00B2247A" w:rsidRDefault="00246C45" w:rsidP="00246C45">
            <w:pPr>
              <w:pStyle w:val="ListBullet1"/>
              <w:jc w:val="left"/>
            </w:pPr>
            <w:r w:rsidRPr="00B2247A">
              <w:t xml:space="preserve">Former Tenant </w:t>
            </w:r>
            <w:r w:rsidR="00A301CB">
              <w:t>Arrears and Credits</w:t>
            </w:r>
            <w:r w:rsidRPr="00B2247A">
              <w:t xml:space="preserve"> Policy</w:t>
            </w:r>
          </w:p>
          <w:p w14:paraId="5E2B260C" w14:textId="77777777" w:rsidR="00246C45" w:rsidRPr="00B2247A" w:rsidRDefault="00246C45" w:rsidP="00246C45">
            <w:pPr>
              <w:pStyle w:val="ListBullet1"/>
              <w:jc w:val="left"/>
            </w:pPr>
            <w:r w:rsidRPr="00B2247A">
              <w:t>Tenancy Management Policy</w:t>
            </w:r>
          </w:p>
          <w:p w14:paraId="385F7D0A" w14:textId="77777777" w:rsidR="00246C45" w:rsidRPr="00B2247A" w:rsidRDefault="00246C45" w:rsidP="00246C45">
            <w:pPr>
              <w:pStyle w:val="ListBullet1"/>
              <w:jc w:val="left"/>
              <w:rPr>
                <w:rFonts w:ascii="Calibri" w:eastAsia="Times New Roman" w:hAnsi="Calibri" w:cs="Arial"/>
                <w:szCs w:val="20"/>
                <w:lang w:eastAsia="en-GB"/>
              </w:rPr>
            </w:pPr>
            <w:r w:rsidRPr="00B2247A">
              <w:t>Complaints Policy</w:t>
            </w:r>
          </w:p>
          <w:p w14:paraId="424CCAF0" w14:textId="77777777" w:rsidR="00246C45" w:rsidRPr="00B2247A" w:rsidRDefault="00246C45" w:rsidP="00246C45">
            <w:pPr>
              <w:pStyle w:val="ListBullet1"/>
              <w:jc w:val="left"/>
              <w:rPr>
                <w:rFonts w:ascii="Calibri" w:eastAsia="Times New Roman" w:hAnsi="Calibri" w:cs="Arial"/>
                <w:szCs w:val="20"/>
                <w:lang w:eastAsia="en-GB"/>
              </w:rPr>
            </w:pPr>
            <w:r w:rsidRPr="00B2247A">
              <w:t>Scheme of Delegation</w:t>
            </w:r>
          </w:p>
          <w:p w14:paraId="4D09A1C8" w14:textId="17123F05" w:rsidR="00246C45" w:rsidRPr="00B2247A" w:rsidRDefault="00246C45" w:rsidP="00246C45">
            <w:pPr>
              <w:pStyle w:val="ListBullet1"/>
              <w:rPr>
                <w:i/>
                <w:iCs/>
                <w:lang w:val="en-US"/>
              </w:rPr>
            </w:pPr>
            <w:r w:rsidRPr="00B2247A">
              <w:t>Customer voice strategy</w:t>
            </w:r>
          </w:p>
        </w:tc>
      </w:tr>
    </w:tbl>
    <w:p w14:paraId="7410CBB9" w14:textId="77777777" w:rsidR="0093600A" w:rsidRDefault="0093600A">
      <w:bookmarkStart w:id="21" w:name="_Toc476208633"/>
      <w:bookmarkEnd w:id="2"/>
      <w:bookmarkEnd w:id="21"/>
    </w:p>
    <w:p w14:paraId="436469E0" w14:textId="77777777" w:rsidR="00532B4E" w:rsidRPr="002A1DD3" w:rsidRDefault="00532B4E" w:rsidP="003C1B99">
      <w:pPr>
        <w:pStyle w:val="Heading1"/>
      </w:pPr>
      <w:bookmarkStart w:id="22" w:name="_Toc116910379"/>
      <w:r w:rsidRPr="002A1DD3">
        <w:t>POLICY INFORMATION</w:t>
      </w:r>
      <w:bookmarkEnd w:id="3"/>
      <w:bookmarkEnd w:id="4"/>
      <w:bookmarkEnd w:id="22"/>
    </w:p>
    <w:p w14:paraId="7E3E7EFA" w14:textId="77777777" w:rsidR="00532B4E" w:rsidRPr="007D0DCD" w:rsidRDefault="00532B4E" w:rsidP="00532B4E">
      <w:pPr>
        <w:rPr>
          <w:rFonts w:ascii="Calibri" w:eastAsia="Times New Roman" w:hAnsi="Calibri" w:cs="Arial"/>
          <w:b/>
          <w:color w:val="008000"/>
          <w:u w:val="single"/>
          <w:lang w:eastAsia="en-GB"/>
        </w:rPr>
      </w:pPr>
    </w:p>
    <w:tbl>
      <w:tblPr>
        <w:tblW w:w="8208" w:type="dxa"/>
        <w:tblInd w:w="720" w:type="dxa"/>
        <w:tblLayout w:type="fixed"/>
        <w:tblLook w:val="0000" w:firstRow="0" w:lastRow="0" w:firstColumn="0" w:lastColumn="0" w:noHBand="0" w:noVBand="0"/>
      </w:tblPr>
      <w:tblGrid>
        <w:gridCol w:w="2932"/>
        <w:gridCol w:w="5276"/>
      </w:tblGrid>
      <w:tr w:rsidR="001F4C11" w:rsidRPr="007D0DCD" w14:paraId="28D5F60A" w14:textId="77777777" w:rsidTr="00437DBE">
        <w:tc>
          <w:tcPr>
            <w:tcW w:w="2932" w:type="dxa"/>
            <w:tcBorders>
              <w:top w:val="single" w:sz="12" w:space="0" w:color="auto"/>
              <w:left w:val="single" w:sz="12" w:space="0" w:color="auto"/>
              <w:bottom w:val="single" w:sz="6" w:space="0" w:color="auto"/>
              <w:right w:val="single" w:sz="6" w:space="0" w:color="auto"/>
            </w:tcBorders>
          </w:tcPr>
          <w:p w14:paraId="3E9A3D66"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Policy Name:</w:t>
            </w:r>
          </w:p>
        </w:tc>
        <w:tc>
          <w:tcPr>
            <w:tcW w:w="5276" w:type="dxa"/>
            <w:tcBorders>
              <w:top w:val="single" w:sz="12" w:space="0" w:color="auto"/>
              <w:left w:val="single" w:sz="6" w:space="0" w:color="auto"/>
              <w:bottom w:val="single" w:sz="6" w:space="0" w:color="auto"/>
              <w:right w:val="single" w:sz="12" w:space="0" w:color="auto"/>
            </w:tcBorders>
          </w:tcPr>
          <w:p w14:paraId="3E324035" w14:textId="64D22D01" w:rsidR="001F4C11" w:rsidRPr="007D0DCD" w:rsidRDefault="00472CDD" w:rsidP="001F4C11">
            <w:pPr>
              <w:spacing w:before="120" w:after="120"/>
              <w:rPr>
                <w:rFonts w:ascii="Calibri" w:eastAsia="Times New Roman" w:hAnsi="Calibri" w:cs="Arial"/>
                <w:lang w:eastAsia="en-GB"/>
              </w:rPr>
            </w:pPr>
            <w:r w:rsidRPr="00472CDD">
              <w:rPr>
                <w:rFonts w:ascii="Calibri" w:eastAsia="Times New Roman" w:hAnsi="Calibri" w:cs="Arial"/>
                <w:lang w:eastAsia="en-GB"/>
              </w:rPr>
              <w:t>Rent Setting and Service Charges Policy</w:t>
            </w:r>
          </w:p>
        </w:tc>
      </w:tr>
      <w:tr w:rsidR="001F4C11" w:rsidRPr="007D0DCD" w14:paraId="010A2A18" w14:textId="77777777" w:rsidTr="00437DBE">
        <w:tc>
          <w:tcPr>
            <w:tcW w:w="2932" w:type="dxa"/>
            <w:tcBorders>
              <w:top w:val="single" w:sz="6" w:space="0" w:color="auto"/>
              <w:left w:val="single" w:sz="12" w:space="0" w:color="auto"/>
              <w:bottom w:val="single" w:sz="6" w:space="0" w:color="auto"/>
              <w:right w:val="single" w:sz="6" w:space="0" w:color="auto"/>
            </w:tcBorders>
          </w:tcPr>
          <w:p w14:paraId="334CADBB"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Status:</w:t>
            </w:r>
          </w:p>
        </w:tc>
        <w:tc>
          <w:tcPr>
            <w:tcW w:w="5276" w:type="dxa"/>
            <w:tcBorders>
              <w:top w:val="single" w:sz="6" w:space="0" w:color="auto"/>
              <w:left w:val="single" w:sz="6" w:space="0" w:color="auto"/>
              <w:bottom w:val="single" w:sz="6" w:space="0" w:color="auto"/>
              <w:right w:val="single" w:sz="12" w:space="0" w:color="auto"/>
            </w:tcBorders>
          </w:tcPr>
          <w:p w14:paraId="1FB1BF72" w14:textId="5F217B37" w:rsidR="001F4C11" w:rsidRPr="00C51433" w:rsidRDefault="00E958F6" w:rsidP="001F4C11">
            <w:pPr>
              <w:spacing w:before="120" w:after="120"/>
              <w:rPr>
                <w:rFonts w:ascii="Calibri" w:eastAsia="Times New Roman" w:hAnsi="Calibri" w:cs="Arial"/>
                <w:color w:val="4F6228" w:themeColor="accent3" w:themeShade="80"/>
                <w:lang w:eastAsia="en-GB"/>
              </w:rPr>
            </w:pPr>
            <w:r>
              <w:rPr>
                <w:rFonts w:ascii="Calibri" w:eastAsia="Times New Roman" w:hAnsi="Calibri" w:cs="Arial"/>
                <w:color w:val="4F6228" w:themeColor="accent3" w:themeShade="80"/>
                <w:lang w:eastAsia="en-GB"/>
              </w:rPr>
              <w:t>Final/Approved</w:t>
            </w:r>
          </w:p>
        </w:tc>
      </w:tr>
      <w:tr w:rsidR="001F4C11" w:rsidRPr="007D0DCD" w14:paraId="5B6EBDCD" w14:textId="77777777" w:rsidTr="00437DBE">
        <w:tc>
          <w:tcPr>
            <w:tcW w:w="2932" w:type="dxa"/>
            <w:tcBorders>
              <w:top w:val="single" w:sz="6" w:space="0" w:color="auto"/>
              <w:left w:val="single" w:sz="12" w:space="0" w:color="auto"/>
              <w:bottom w:val="single" w:sz="6" w:space="0" w:color="auto"/>
              <w:right w:val="single" w:sz="6" w:space="0" w:color="auto"/>
            </w:tcBorders>
          </w:tcPr>
          <w:p w14:paraId="7DFD9E9A"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Approved by:</w:t>
            </w:r>
          </w:p>
        </w:tc>
        <w:tc>
          <w:tcPr>
            <w:tcW w:w="5276" w:type="dxa"/>
            <w:tcBorders>
              <w:top w:val="single" w:sz="6" w:space="0" w:color="auto"/>
              <w:left w:val="single" w:sz="6" w:space="0" w:color="auto"/>
              <w:bottom w:val="single" w:sz="6" w:space="0" w:color="auto"/>
              <w:right w:val="single" w:sz="12" w:space="0" w:color="auto"/>
            </w:tcBorders>
          </w:tcPr>
          <w:p w14:paraId="05BA6985" w14:textId="38E3085E" w:rsidR="001F4C11" w:rsidRPr="00C51433" w:rsidRDefault="00E958F6" w:rsidP="00DE372B">
            <w:pPr>
              <w:spacing w:before="120" w:after="120"/>
              <w:jc w:val="left"/>
              <w:rPr>
                <w:rFonts w:ascii="Calibri" w:eastAsia="Times New Roman" w:hAnsi="Calibri" w:cs="Arial"/>
                <w:color w:val="4F6228" w:themeColor="accent3" w:themeShade="80"/>
                <w:lang w:eastAsia="en-GB"/>
              </w:rPr>
            </w:pPr>
            <w:r>
              <w:rPr>
                <w:rFonts w:ascii="Calibri" w:eastAsia="Times New Roman" w:hAnsi="Calibri" w:cs="Arial"/>
                <w:color w:val="4F6228" w:themeColor="accent3" w:themeShade="80"/>
                <w:lang w:eastAsia="en-GB"/>
              </w:rPr>
              <w:t>PPHT Board</w:t>
            </w:r>
          </w:p>
        </w:tc>
      </w:tr>
      <w:tr w:rsidR="001F4C11" w:rsidRPr="007D0DCD" w14:paraId="7C311D3B" w14:textId="77777777" w:rsidTr="00437DBE">
        <w:tc>
          <w:tcPr>
            <w:tcW w:w="2932" w:type="dxa"/>
            <w:tcBorders>
              <w:top w:val="single" w:sz="6" w:space="0" w:color="auto"/>
              <w:left w:val="single" w:sz="12" w:space="0" w:color="auto"/>
              <w:bottom w:val="single" w:sz="6" w:space="0" w:color="auto"/>
              <w:right w:val="single" w:sz="6" w:space="0" w:color="auto"/>
            </w:tcBorders>
          </w:tcPr>
          <w:p w14:paraId="42743AF0"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Drafted By:</w:t>
            </w:r>
          </w:p>
        </w:tc>
        <w:tc>
          <w:tcPr>
            <w:tcW w:w="5276" w:type="dxa"/>
            <w:tcBorders>
              <w:top w:val="single" w:sz="6" w:space="0" w:color="auto"/>
              <w:left w:val="single" w:sz="6" w:space="0" w:color="auto"/>
              <w:bottom w:val="single" w:sz="6" w:space="0" w:color="auto"/>
              <w:right w:val="single" w:sz="12" w:space="0" w:color="auto"/>
            </w:tcBorders>
          </w:tcPr>
          <w:p w14:paraId="0005DE63" w14:textId="64DE2C7D" w:rsidR="001F4C11" w:rsidRPr="00472CDD" w:rsidRDefault="00A301CB" w:rsidP="001F4C11">
            <w:pPr>
              <w:spacing w:before="120" w:after="120"/>
              <w:rPr>
                <w:rFonts w:ascii="Calibri" w:eastAsia="Times New Roman" w:hAnsi="Calibri" w:cs="Arial"/>
                <w:lang w:eastAsia="en-GB"/>
              </w:rPr>
            </w:pPr>
            <w:r>
              <w:rPr>
                <w:rFonts w:ascii="Calibri" w:eastAsia="Times New Roman" w:hAnsi="Calibri" w:cs="Arial"/>
                <w:lang w:eastAsia="en-GB"/>
              </w:rPr>
              <w:t>Assistant Director</w:t>
            </w:r>
            <w:r w:rsidRPr="00472CDD">
              <w:rPr>
                <w:rFonts w:ascii="Calibri" w:eastAsia="Times New Roman" w:hAnsi="Calibri" w:cs="Arial"/>
                <w:lang w:eastAsia="en-GB"/>
              </w:rPr>
              <w:t xml:space="preserve"> </w:t>
            </w:r>
            <w:r w:rsidR="00472CDD" w:rsidRPr="00472CDD">
              <w:rPr>
                <w:rFonts w:ascii="Calibri" w:eastAsia="Times New Roman" w:hAnsi="Calibri" w:cs="Arial"/>
                <w:lang w:eastAsia="en-GB"/>
              </w:rPr>
              <w:t>of Finance</w:t>
            </w:r>
          </w:p>
        </w:tc>
      </w:tr>
      <w:tr w:rsidR="001F4C11" w:rsidRPr="007D0DCD" w14:paraId="76FA179C" w14:textId="77777777" w:rsidTr="00437DBE">
        <w:tc>
          <w:tcPr>
            <w:tcW w:w="2932" w:type="dxa"/>
            <w:tcBorders>
              <w:top w:val="single" w:sz="6" w:space="0" w:color="auto"/>
              <w:left w:val="single" w:sz="12" w:space="0" w:color="auto"/>
              <w:bottom w:val="single" w:sz="6" w:space="0" w:color="auto"/>
              <w:right w:val="single" w:sz="6" w:space="0" w:color="auto"/>
            </w:tcBorders>
          </w:tcPr>
          <w:p w14:paraId="033B5327"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Date approved:</w:t>
            </w:r>
          </w:p>
        </w:tc>
        <w:tc>
          <w:tcPr>
            <w:tcW w:w="5276" w:type="dxa"/>
            <w:tcBorders>
              <w:top w:val="single" w:sz="6" w:space="0" w:color="auto"/>
              <w:left w:val="single" w:sz="6" w:space="0" w:color="auto"/>
              <w:bottom w:val="single" w:sz="6" w:space="0" w:color="auto"/>
              <w:right w:val="single" w:sz="12" w:space="0" w:color="auto"/>
            </w:tcBorders>
          </w:tcPr>
          <w:p w14:paraId="15F1C408" w14:textId="2B5D2AFB" w:rsidR="001F4C11" w:rsidRPr="00C51433" w:rsidRDefault="00E958F6" w:rsidP="001F4C11">
            <w:pPr>
              <w:spacing w:before="120" w:after="120"/>
              <w:rPr>
                <w:rFonts w:ascii="Calibri" w:eastAsia="Times New Roman" w:hAnsi="Calibri" w:cs="Arial"/>
                <w:color w:val="4F6228" w:themeColor="accent3" w:themeShade="80"/>
                <w:lang w:eastAsia="en-GB"/>
              </w:rPr>
            </w:pPr>
            <w:r>
              <w:rPr>
                <w:rFonts w:ascii="Calibri" w:eastAsia="Times New Roman" w:hAnsi="Calibri" w:cs="Arial"/>
                <w:color w:val="4F6228" w:themeColor="accent3" w:themeShade="80"/>
                <w:lang w:eastAsia="en-GB"/>
              </w:rPr>
              <w:t>30</w:t>
            </w:r>
            <w:r w:rsidRPr="00E958F6">
              <w:rPr>
                <w:rFonts w:ascii="Calibri" w:eastAsia="Times New Roman" w:hAnsi="Calibri" w:cs="Arial"/>
                <w:color w:val="4F6228" w:themeColor="accent3" w:themeShade="80"/>
                <w:vertAlign w:val="superscript"/>
                <w:lang w:eastAsia="en-GB"/>
              </w:rPr>
              <w:t>th</w:t>
            </w:r>
            <w:r>
              <w:rPr>
                <w:rFonts w:ascii="Calibri" w:eastAsia="Times New Roman" w:hAnsi="Calibri" w:cs="Arial"/>
                <w:color w:val="4F6228" w:themeColor="accent3" w:themeShade="80"/>
                <w:lang w:eastAsia="en-GB"/>
              </w:rPr>
              <w:t xml:space="preserve"> January 2024</w:t>
            </w:r>
          </w:p>
        </w:tc>
      </w:tr>
      <w:tr w:rsidR="001F4C11" w:rsidRPr="007D0DCD" w14:paraId="28DBB486" w14:textId="77777777" w:rsidTr="00437DBE">
        <w:tc>
          <w:tcPr>
            <w:tcW w:w="2932" w:type="dxa"/>
            <w:tcBorders>
              <w:top w:val="single" w:sz="6" w:space="0" w:color="auto"/>
              <w:left w:val="single" w:sz="12" w:space="0" w:color="auto"/>
              <w:bottom w:val="single" w:sz="6" w:space="0" w:color="auto"/>
              <w:right w:val="single" w:sz="6" w:space="0" w:color="auto"/>
            </w:tcBorders>
          </w:tcPr>
          <w:p w14:paraId="7368AF0F" w14:textId="77777777" w:rsidR="001F4C11" w:rsidRPr="007D0DCD" w:rsidRDefault="001F4C11" w:rsidP="001F4C11">
            <w:pPr>
              <w:spacing w:before="120" w:after="120"/>
              <w:rPr>
                <w:rFonts w:ascii="Calibri" w:eastAsia="Times New Roman" w:hAnsi="Calibri" w:cs="Arial"/>
                <w:lang w:eastAsia="en-GB"/>
              </w:rPr>
            </w:pPr>
            <w:r w:rsidRPr="007D0DCD">
              <w:rPr>
                <w:rFonts w:ascii="Calibri" w:eastAsia="Times New Roman" w:hAnsi="Calibri" w:cs="Arial"/>
                <w:lang w:eastAsia="en-GB"/>
              </w:rPr>
              <w:t>Next Review Date:</w:t>
            </w:r>
          </w:p>
        </w:tc>
        <w:tc>
          <w:tcPr>
            <w:tcW w:w="5276" w:type="dxa"/>
            <w:tcBorders>
              <w:top w:val="single" w:sz="6" w:space="0" w:color="auto"/>
              <w:left w:val="single" w:sz="6" w:space="0" w:color="auto"/>
              <w:bottom w:val="single" w:sz="6" w:space="0" w:color="auto"/>
              <w:right w:val="single" w:sz="12" w:space="0" w:color="auto"/>
            </w:tcBorders>
          </w:tcPr>
          <w:p w14:paraId="1210C82A" w14:textId="1BCA73BB" w:rsidR="001F4C11" w:rsidRPr="00C51433" w:rsidRDefault="00C51433" w:rsidP="001F4C11">
            <w:pPr>
              <w:spacing w:before="120" w:after="120"/>
              <w:rPr>
                <w:rFonts w:ascii="Calibri" w:eastAsia="Times New Roman" w:hAnsi="Calibri" w:cs="Arial"/>
                <w:color w:val="4F6228" w:themeColor="accent3" w:themeShade="80"/>
                <w:lang w:eastAsia="en-GB"/>
              </w:rPr>
            </w:pPr>
            <w:r w:rsidRPr="00C51433">
              <w:rPr>
                <w:rFonts w:ascii="Calibri" w:eastAsia="Times New Roman" w:hAnsi="Calibri" w:cs="Arial"/>
                <w:color w:val="4F6228" w:themeColor="accent3" w:themeShade="80"/>
                <w:lang w:eastAsia="en-GB"/>
              </w:rPr>
              <w:t>January 202</w:t>
            </w:r>
            <w:r w:rsidR="00A301CB">
              <w:rPr>
                <w:rFonts w:ascii="Calibri" w:eastAsia="Times New Roman" w:hAnsi="Calibri" w:cs="Arial"/>
                <w:color w:val="4F6228" w:themeColor="accent3" w:themeShade="80"/>
                <w:lang w:eastAsia="en-GB"/>
              </w:rPr>
              <w:t>5</w:t>
            </w:r>
          </w:p>
        </w:tc>
      </w:tr>
    </w:tbl>
    <w:p w14:paraId="58880294" w14:textId="3B988AF0" w:rsidR="00532B4E" w:rsidRPr="00601BEC" w:rsidRDefault="00532B4E" w:rsidP="00601BEC">
      <w:pPr>
        <w:rPr>
          <w:rFonts w:eastAsia="Times New Roman"/>
          <w:b/>
          <w:color w:val="7AC142"/>
          <w:szCs w:val="20"/>
        </w:rPr>
      </w:pPr>
    </w:p>
    <w:sectPr w:rsidR="00532B4E" w:rsidRPr="00601BEC" w:rsidSect="003B2DFD">
      <w:footerReference w:type="default" r:id="rId19"/>
      <w:pgSz w:w="11906" w:h="16838" w:code="9"/>
      <w:pgMar w:top="1134"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94392" w14:textId="77777777" w:rsidR="0038298A" w:rsidRDefault="0038298A" w:rsidP="009A40E5">
      <w:r>
        <w:separator/>
      </w:r>
    </w:p>
  </w:endnote>
  <w:endnote w:type="continuationSeparator" w:id="0">
    <w:p w14:paraId="688DAD0A" w14:textId="77777777" w:rsidR="0038298A" w:rsidRDefault="0038298A" w:rsidP="009A40E5">
      <w:r>
        <w:continuationSeparator/>
      </w:r>
    </w:p>
  </w:endnote>
  <w:endnote w:type="continuationNotice" w:id="1">
    <w:p w14:paraId="58078982" w14:textId="77777777" w:rsidR="0038298A" w:rsidRDefault="00382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C400" w14:textId="77777777" w:rsidR="000B34DB" w:rsidRDefault="000B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E603" w14:textId="77777777" w:rsidR="000B34DB" w:rsidRPr="007D0DCD" w:rsidRDefault="000B34DB" w:rsidP="000F4E87">
    <w:pPr>
      <w:pStyle w:val="Footer"/>
      <w:rPr>
        <w:rFonts w:cs="Arial"/>
      </w:rPr>
    </w:pPr>
    <w:r>
      <w:rPr>
        <w:noProof/>
        <w:lang w:eastAsia="en-GB"/>
      </w:rPr>
      <w:drawing>
        <wp:anchor distT="0" distB="0" distL="114300" distR="114300" simplePos="0" relativeHeight="251658241" behindDoc="0" locked="0" layoutInCell="1" allowOverlap="1" wp14:anchorId="4E125BF1" wp14:editId="315E075D">
          <wp:simplePos x="0" y="0"/>
          <wp:positionH relativeFrom="column">
            <wp:posOffset>4107815</wp:posOffset>
          </wp:positionH>
          <wp:positionV relativeFrom="paragraph">
            <wp:posOffset>-287020</wp:posOffset>
          </wp:positionV>
          <wp:extent cx="2190750" cy="646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2064" w14:textId="77777777" w:rsidR="000B34DB" w:rsidRDefault="000B3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C5F7" w14:textId="77777777" w:rsidR="000B34DB" w:rsidRPr="00E3112F" w:rsidRDefault="000B34DB" w:rsidP="000F4E87">
    <w:pPr>
      <w:pStyle w:val="Footer"/>
      <w:rPr>
        <w:rFonts w:cs="Arial"/>
        <w:sz w:val="28"/>
      </w:rPr>
    </w:pPr>
    <w:r w:rsidRPr="00E3112F">
      <w:rPr>
        <w:noProof/>
        <w:sz w:val="28"/>
        <w:lang w:eastAsia="en-GB"/>
      </w:rPr>
      <w:drawing>
        <wp:anchor distT="0" distB="0" distL="114300" distR="114300" simplePos="0" relativeHeight="251658240" behindDoc="0" locked="0" layoutInCell="1" allowOverlap="1" wp14:anchorId="7F4D5A51" wp14:editId="558EC5F8">
          <wp:simplePos x="0" y="0"/>
          <wp:positionH relativeFrom="column">
            <wp:posOffset>3860165</wp:posOffset>
          </wp:positionH>
          <wp:positionV relativeFrom="paragraph">
            <wp:posOffset>-304800</wp:posOffset>
          </wp:positionV>
          <wp:extent cx="2190750" cy="646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P LOGO COL WHT BG.jpg"/>
                  <pic:cNvPicPr/>
                </pic:nvPicPr>
                <pic:blipFill>
                  <a:blip r:embed="rId1">
                    <a:extLst>
                      <a:ext uri="{28A0092B-C50C-407E-A947-70E740481C1C}">
                        <a14:useLocalDpi xmlns:a14="http://schemas.microsoft.com/office/drawing/2010/main" val="0"/>
                      </a:ext>
                    </a:extLst>
                  </a:blip>
                  <a:stretch>
                    <a:fillRect/>
                  </a:stretch>
                </pic:blipFill>
                <pic:spPr>
                  <a:xfrm>
                    <a:off x="0" y="0"/>
                    <a:ext cx="2190750" cy="646430"/>
                  </a:xfrm>
                  <a:prstGeom prst="rect">
                    <a:avLst/>
                  </a:prstGeom>
                </pic:spPr>
              </pic:pic>
            </a:graphicData>
          </a:graphic>
          <wp14:sizeRelH relativeFrom="margin">
            <wp14:pctWidth>0</wp14:pctWidth>
          </wp14:sizeRelH>
          <wp14:sizeRelV relativeFrom="margin">
            <wp14:pctHeight>0</wp14:pctHeight>
          </wp14:sizeRelV>
        </wp:anchor>
      </w:drawing>
    </w:r>
    <w:r w:rsidRPr="00E3112F">
      <w:rPr>
        <w:rFonts w:cs="Arial"/>
        <w:sz w:val="18"/>
        <w:szCs w:val="16"/>
      </w:rPr>
      <w:fldChar w:fldCharType="begin"/>
    </w:r>
    <w:r w:rsidRPr="00E3112F">
      <w:rPr>
        <w:rFonts w:cs="Arial"/>
        <w:sz w:val="18"/>
        <w:szCs w:val="16"/>
      </w:rPr>
      <w:instrText xml:space="preserve"> PAGE </w:instrText>
    </w:r>
    <w:r w:rsidRPr="00E3112F">
      <w:rPr>
        <w:rFonts w:cs="Arial"/>
        <w:sz w:val="18"/>
        <w:szCs w:val="16"/>
      </w:rPr>
      <w:fldChar w:fldCharType="separate"/>
    </w:r>
    <w:r w:rsidR="00DD6A8A">
      <w:rPr>
        <w:rFonts w:cs="Arial"/>
        <w:noProof/>
        <w:sz w:val="18"/>
        <w:szCs w:val="16"/>
      </w:rPr>
      <w:t>1</w:t>
    </w:r>
    <w:r w:rsidRPr="00E3112F">
      <w:rPr>
        <w:rFonts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4D52" w14:textId="77777777" w:rsidR="0038298A" w:rsidRDefault="0038298A" w:rsidP="009A40E5">
      <w:r>
        <w:separator/>
      </w:r>
    </w:p>
  </w:footnote>
  <w:footnote w:type="continuationSeparator" w:id="0">
    <w:p w14:paraId="38315D63" w14:textId="77777777" w:rsidR="0038298A" w:rsidRDefault="0038298A" w:rsidP="009A40E5">
      <w:r>
        <w:continuationSeparator/>
      </w:r>
    </w:p>
  </w:footnote>
  <w:footnote w:type="continuationNotice" w:id="1">
    <w:p w14:paraId="7FD973F5" w14:textId="77777777" w:rsidR="0038298A" w:rsidRDefault="00382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6865" w14:textId="77777777" w:rsidR="000B34DB" w:rsidRDefault="000B34DB">
    <w:pPr>
      <w:pStyle w:val="Header"/>
    </w:pPr>
  </w:p>
  <w:p w14:paraId="2715DA1D" w14:textId="77777777" w:rsidR="000B34DB" w:rsidRDefault="000B34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642A" w14:textId="77777777" w:rsidR="000B34DB" w:rsidRDefault="000B34DB" w:rsidP="00DE5D43">
    <w:pPr>
      <w:pStyle w:val="Footer"/>
      <w:tabs>
        <w:tab w:val="clear" w:pos="4320"/>
        <w:tab w:val="clear" w:pos="8640"/>
        <w:tab w:val="left" w:pos="6045"/>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A3BC" w14:textId="77777777" w:rsidR="000B34DB" w:rsidRDefault="000B3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51"/>
    <w:multiLevelType w:val="hybridMultilevel"/>
    <w:tmpl w:val="F020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4FD"/>
    <w:multiLevelType w:val="hybridMultilevel"/>
    <w:tmpl w:val="3DF8C7E8"/>
    <w:lvl w:ilvl="0" w:tplc="C7886278">
      <w:start w:val="1"/>
      <w:numFmt w:val="decimal"/>
      <w:pStyle w:val="Level4"/>
      <w:lvlText w:val="4.%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E66E9"/>
    <w:multiLevelType w:val="hybridMultilevel"/>
    <w:tmpl w:val="C2D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44DD7"/>
    <w:multiLevelType w:val="hybridMultilevel"/>
    <w:tmpl w:val="3C0892B8"/>
    <w:lvl w:ilvl="0" w:tplc="28606DDC">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A23AF"/>
    <w:multiLevelType w:val="hybridMultilevel"/>
    <w:tmpl w:val="8B6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12E95"/>
    <w:multiLevelType w:val="hybridMultilevel"/>
    <w:tmpl w:val="743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B7735"/>
    <w:multiLevelType w:val="hybridMultilevel"/>
    <w:tmpl w:val="ED069FC0"/>
    <w:lvl w:ilvl="0" w:tplc="E70E835E">
      <w:start w:val="1"/>
      <w:numFmt w:val="decimal"/>
      <w:pStyle w:val="Level6"/>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9F0D45"/>
    <w:multiLevelType w:val="hybridMultilevel"/>
    <w:tmpl w:val="5F301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92903"/>
    <w:multiLevelType w:val="hybridMultilevel"/>
    <w:tmpl w:val="C8CA8258"/>
    <w:lvl w:ilvl="0" w:tplc="08A85C64">
      <w:start w:val="1"/>
      <w:numFmt w:val="decimal"/>
      <w:pStyle w:val="TOC1"/>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C37EB"/>
    <w:multiLevelType w:val="hybridMultilevel"/>
    <w:tmpl w:val="BFEA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13159"/>
    <w:multiLevelType w:val="hybridMultilevel"/>
    <w:tmpl w:val="F87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F67BA"/>
    <w:multiLevelType w:val="hybridMultilevel"/>
    <w:tmpl w:val="072C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25669"/>
    <w:multiLevelType w:val="hybridMultilevel"/>
    <w:tmpl w:val="5A2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B7282"/>
    <w:multiLevelType w:val="hybridMultilevel"/>
    <w:tmpl w:val="852EC6AA"/>
    <w:lvl w:ilvl="0" w:tplc="0E60C7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D7673"/>
    <w:multiLevelType w:val="hybridMultilevel"/>
    <w:tmpl w:val="CF7095E6"/>
    <w:lvl w:ilvl="0" w:tplc="AC82627A">
      <w:start w:val="1"/>
      <w:numFmt w:val="bullet"/>
      <w:pStyle w:val="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A09F8"/>
    <w:multiLevelType w:val="hybridMultilevel"/>
    <w:tmpl w:val="F0FC86E6"/>
    <w:lvl w:ilvl="0" w:tplc="87148F74">
      <w:start w:val="1"/>
      <w:numFmt w:val="decimal"/>
      <w:pStyle w:val="Level7"/>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813E4"/>
    <w:multiLevelType w:val="hybridMultilevel"/>
    <w:tmpl w:val="D560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82870"/>
    <w:multiLevelType w:val="hybridMultilevel"/>
    <w:tmpl w:val="FB58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839D1"/>
    <w:multiLevelType w:val="hybridMultilevel"/>
    <w:tmpl w:val="8F1A78CE"/>
    <w:lvl w:ilvl="0" w:tplc="0E60C7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F4324"/>
    <w:multiLevelType w:val="hybridMultilevel"/>
    <w:tmpl w:val="7C24F9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517E09"/>
    <w:multiLevelType w:val="hybridMultilevel"/>
    <w:tmpl w:val="7DACD4F2"/>
    <w:lvl w:ilvl="0" w:tplc="0E60C7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02A87"/>
    <w:multiLevelType w:val="hybridMultilevel"/>
    <w:tmpl w:val="588E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27D8F"/>
    <w:multiLevelType w:val="hybridMultilevel"/>
    <w:tmpl w:val="E50C857E"/>
    <w:lvl w:ilvl="0" w:tplc="AB0430AA">
      <w:start w:val="1"/>
      <w:numFmt w:val="decimal"/>
      <w:pStyle w:val="Level8"/>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FD288F"/>
    <w:multiLevelType w:val="hybridMultilevel"/>
    <w:tmpl w:val="98D6E0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FE08DC"/>
    <w:multiLevelType w:val="hybridMultilevel"/>
    <w:tmpl w:val="D558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834B09"/>
    <w:multiLevelType w:val="multilevel"/>
    <w:tmpl w:val="D722B1AA"/>
    <w:lvl w:ilvl="0">
      <w:start w:val="1"/>
      <w:numFmt w:val="decimal"/>
      <w:lvlText w:val="%1."/>
      <w:lvlJc w:val="left"/>
      <w:pPr>
        <w:ind w:left="0" w:firstLine="0"/>
      </w:pPr>
      <w:rPr>
        <w:rFonts w:ascii="Calibri" w:hAnsi="Calibri" w:hint="default"/>
        <w:b/>
        <w:i w:val="0"/>
        <w:caps w:val="0"/>
        <w:strike w:val="0"/>
        <w:dstrike w:val="0"/>
        <w:vanish w:val="0"/>
        <w:color w:val="92D050"/>
        <w:sz w:val="24"/>
        <w:vertAlign w:val="baseline"/>
      </w:rPr>
    </w:lvl>
    <w:lvl w:ilvl="1">
      <w:start w:val="1"/>
      <w:numFmt w:val="decimal"/>
      <w:lvlText w:val="%1.%2."/>
      <w:lvlJc w:val="left"/>
      <w:pPr>
        <w:ind w:left="0" w:firstLine="0"/>
      </w:pPr>
      <w:rPr>
        <w:rFonts w:ascii="Calibri" w:hAnsi="Calibri" w:hint="default"/>
        <w:b w:val="0"/>
        <w:bCs/>
        <w:caps w:val="0"/>
        <w:strike w:val="0"/>
        <w:dstrike w:val="0"/>
        <w:vanish w:val="0"/>
        <w:color w:val="auto"/>
        <w:sz w:val="24"/>
        <w:vertAlign w:val="baseline"/>
      </w:rPr>
    </w:lvl>
    <w:lvl w:ilvl="2">
      <w:start w:val="1"/>
      <w:numFmt w:val="decimal"/>
      <w:lvlText w:val="%1.%2.%3."/>
      <w:lvlJc w:val="left"/>
      <w:pPr>
        <w:ind w:left="0" w:firstLine="0"/>
      </w:pPr>
      <w:rPr>
        <w:rFonts w:hint="default"/>
        <w:b w:val="0"/>
        <w:color w:val="auto"/>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095593188">
    <w:abstractNumId w:val="1"/>
  </w:num>
  <w:num w:numId="2" w16cid:durableId="337271752">
    <w:abstractNumId w:val="6"/>
  </w:num>
  <w:num w:numId="3" w16cid:durableId="761604562">
    <w:abstractNumId w:val="22"/>
  </w:num>
  <w:num w:numId="4" w16cid:durableId="1609040054">
    <w:abstractNumId w:val="15"/>
  </w:num>
  <w:num w:numId="5" w16cid:durableId="477308063">
    <w:abstractNumId w:val="25"/>
  </w:num>
  <w:num w:numId="6" w16cid:durableId="1238857130">
    <w:abstractNumId w:val="8"/>
  </w:num>
  <w:num w:numId="7" w16cid:durableId="717825293">
    <w:abstractNumId w:val="14"/>
  </w:num>
  <w:num w:numId="8" w16cid:durableId="1502889149">
    <w:abstractNumId w:val="10"/>
  </w:num>
  <w:num w:numId="9" w16cid:durableId="549076832">
    <w:abstractNumId w:val="23"/>
  </w:num>
  <w:num w:numId="10" w16cid:durableId="157575339">
    <w:abstractNumId w:val="5"/>
  </w:num>
  <w:num w:numId="11" w16cid:durableId="475683491">
    <w:abstractNumId w:val="24"/>
  </w:num>
  <w:num w:numId="12" w16cid:durableId="1399131452">
    <w:abstractNumId w:val="12"/>
  </w:num>
  <w:num w:numId="13" w16cid:durableId="2028558857">
    <w:abstractNumId w:val="11"/>
  </w:num>
  <w:num w:numId="14" w16cid:durableId="198471552">
    <w:abstractNumId w:val="2"/>
  </w:num>
  <w:num w:numId="15" w16cid:durableId="1770347220">
    <w:abstractNumId w:val="0"/>
  </w:num>
  <w:num w:numId="16" w16cid:durableId="1481650486">
    <w:abstractNumId w:val="4"/>
  </w:num>
  <w:num w:numId="17" w16cid:durableId="55856268">
    <w:abstractNumId w:val="9"/>
  </w:num>
  <w:num w:numId="18" w16cid:durableId="1541942543">
    <w:abstractNumId w:val="3"/>
  </w:num>
  <w:num w:numId="19" w16cid:durableId="1939411976">
    <w:abstractNumId w:val="16"/>
  </w:num>
  <w:num w:numId="20" w16cid:durableId="133571694">
    <w:abstractNumId w:val="19"/>
  </w:num>
  <w:num w:numId="21" w16cid:durableId="1183979778">
    <w:abstractNumId w:val="7"/>
  </w:num>
  <w:num w:numId="22" w16cid:durableId="616761791">
    <w:abstractNumId w:val="17"/>
  </w:num>
  <w:num w:numId="23" w16cid:durableId="1158887451">
    <w:abstractNumId w:val="20"/>
  </w:num>
  <w:num w:numId="24" w16cid:durableId="1678775308">
    <w:abstractNumId w:val="21"/>
  </w:num>
  <w:num w:numId="25" w16cid:durableId="2115857746">
    <w:abstractNumId w:val="13"/>
  </w:num>
  <w:num w:numId="26" w16cid:durableId="189669881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5A"/>
    <w:rsid w:val="000114C6"/>
    <w:rsid w:val="0002426D"/>
    <w:rsid w:val="00024410"/>
    <w:rsid w:val="000308D6"/>
    <w:rsid w:val="00067946"/>
    <w:rsid w:val="00072168"/>
    <w:rsid w:val="000A0CE1"/>
    <w:rsid w:val="000B34DB"/>
    <w:rsid w:val="000B6E39"/>
    <w:rsid w:val="000C4D81"/>
    <w:rsid w:val="000D655A"/>
    <w:rsid w:val="000E3C18"/>
    <w:rsid w:val="000E5234"/>
    <w:rsid w:val="000F1A9F"/>
    <w:rsid w:val="000F4E87"/>
    <w:rsid w:val="00111CBA"/>
    <w:rsid w:val="00155BE2"/>
    <w:rsid w:val="001771D6"/>
    <w:rsid w:val="00192D8C"/>
    <w:rsid w:val="001B0C08"/>
    <w:rsid w:val="001C195E"/>
    <w:rsid w:val="001D0B3C"/>
    <w:rsid w:val="001D2161"/>
    <w:rsid w:val="001E3F99"/>
    <w:rsid w:val="001F4C11"/>
    <w:rsid w:val="0020122D"/>
    <w:rsid w:val="002021B6"/>
    <w:rsid w:val="00205259"/>
    <w:rsid w:val="00214540"/>
    <w:rsid w:val="00223696"/>
    <w:rsid w:val="00235F85"/>
    <w:rsid w:val="00246C45"/>
    <w:rsid w:val="00246DD9"/>
    <w:rsid w:val="00247C6B"/>
    <w:rsid w:val="00254AC1"/>
    <w:rsid w:val="002655B6"/>
    <w:rsid w:val="002835A6"/>
    <w:rsid w:val="002901A0"/>
    <w:rsid w:val="002A1DD3"/>
    <w:rsid w:val="002B50DE"/>
    <w:rsid w:val="002D1483"/>
    <w:rsid w:val="002E0196"/>
    <w:rsid w:val="002E7E6E"/>
    <w:rsid w:val="002F1FBB"/>
    <w:rsid w:val="002F6268"/>
    <w:rsid w:val="00326C8C"/>
    <w:rsid w:val="00337E22"/>
    <w:rsid w:val="00356136"/>
    <w:rsid w:val="00371543"/>
    <w:rsid w:val="0038298A"/>
    <w:rsid w:val="00387649"/>
    <w:rsid w:val="003A3C6A"/>
    <w:rsid w:val="003A66C4"/>
    <w:rsid w:val="003B2DFD"/>
    <w:rsid w:val="003C1B99"/>
    <w:rsid w:val="003C509D"/>
    <w:rsid w:val="003D3BBE"/>
    <w:rsid w:val="003E601A"/>
    <w:rsid w:val="003F0678"/>
    <w:rsid w:val="003F75CD"/>
    <w:rsid w:val="004111A5"/>
    <w:rsid w:val="004122DB"/>
    <w:rsid w:val="0042502D"/>
    <w:rsid w:val="00431319"/>
    <w:rsid w:val="00433AB2"/>
    <w:rsid w:val="00437A68"/>
    <w:rsid w:val="00437DBE"/>
    <w:rsid w:val="00443920"/>
    <w:rsid w:val="0044461A"/>
    <w:rsid w:val="00472CDD"/>
    <w:rsid w:val="00486FD7"/>
    <w:rsid w:val="00494C56"/>
    <w:rsid w:val="00494CEE"/>
    <w:rsid w:val="004C1BC2"/>
    <w:rsid w:val="004C7B80"/>
    <w:rsid w:val="004E6D28"/>
    <w:rsid w:val="00501107"/>
    <w:rsid w:val="00502F76"/>
    <w:rsid w:val="00512F19"/>
    <w:rsid w:val="005157B6"/>
    <w:rsid w:val="005301B4"/>
    <w:rsid w:val="00532B4E"/>
    <w:rsid w:val="00536728"/>
    <w:rsid w:val="00537B20"/>
    <w:rsid w:val="005772C3"/>
    <w:rsid w:val="00583525"/>
    <w:rsid w:val="00591976"/>
    <w:rsid w:val="005927A0"/>
    <w:rsid w:val="00592FEA"/>
    <w:rsid w:val="005A5CFE"/>
    <w:rsid w:val="005C203B"/>
    <w:rsid w:val="005C61DF"/>
    <w:rsid w:val="005E0F6D"/>
    <w:rsid w:val="005E13E4"/>
    <w:rsid w:val="005E1EEF"/>
    <w:rsid w:val="006002E2"/>
    <w:rsid w:val="00601BEC"/>
    <w:rsid w:val="0060783E"/>
    <w:rsid w:val="006404AD"/>
    <w:rsid w:val="00664FA6"/>
    <w:rsid w:val="00671F42"/>
    <w:rsid w:val="00674F29"/>
    <w:rsid w:val="00675C12"/>
    <w:rsid w:val="006B5642"/>
    <w:rsid w:val="006D08A6"/>
    <w:rsid w:val="006D6DBC"/>
    <w:rsid w:val="0070727C"/>
    <w:rsid w:val="00707EFC"/>
    <w:rsid w:val="00720E47"/>
    <w:rsid w:val="0072744D"/>
    <w:rsid w:val="007356F0"/>
    <w:rsid w:val="0075576F"/>
    <w:rsid w:val="0077501C"/>
    <w:rsid w:val="007A3813"/>
    <w:rsid w:val="007B06DD"/>
    <w:rsid w:val="007B5E92"/>
    <w:rsid w:val="007D0DCD"/>
    <w:rsid w:val="0081585A"/>
    <w:rsid w:val="00827935"/>
    <w:rsid w:val="008301BE"/>
    <w:rsid w:val="00842F60"/>
    <w:rsid w:val="0085313B"/>
    <w:rsid w:val="0088453C"/>
    <w:rsid w:val="00886DB9"/>
    <w:rsid w:val="008A1EB2"/>
    <w:rsid w:val="008C36B1"/>
    <w:rsid w:val="008D4761"/>
    <w:rsid w:val="008D556E"/>
    <w:rsid w:val="008D6C5E"/>
    <w:rsid w:val="00911125"/>
    <w:rsid w:val="0092392B"/>
    <w:rsid w:val="0093600A"/>
    <w:rsid w:val="009432F1"/>
    <w:rsid w:val="00957C36"/>
    <w:rsid w:val="0098734C"/>
    <w:rsid w:val="00994C8D"/>
    <w:rsid w:val="009A40E5"/>
    <w:rsid w:val="009A5DF2"/>
    <w:rsid w:val="009C5B2C"/>
    <w:rsid w:val="009D2345"/>
    <w:rsid w:val="009D29DB"/>
    <w:rsid w:val="009D3D6D"/>
    <w:rsid w:val="009E2837"/>
    <w:rsid w:val="00A064EB"/>
    <w:rsid w:val="00A301CB"/>
    <w:rsid w:val="00A569FA"/>
    <w:rsid w:val="00A93137"/>
    <w:rsid w:val="00A93B6F"/>
    <w:rsid w:val="00A96718"/>
    <w:rsid w:val="00AA081C"/>
    <w:rsid w:val="00AB3089"/>
    <w:rsid w:val="00AB7448"/>
    <w:rsid w:val="00AC1B6C"/>
    <w:rsid w:val="00AC7444"/>
    <w:rsid w:val="00AD14B9"/>
    <w:rsid w:val="00AD33B1"/>
    <w:rsid w:val="00AE394F"/>
    <w:rsid w:val="00AF1C9F"/>
    <w:rsid w:val="00B06B2A"/>
    <w:rsid w:val="00B12B5E"/>
    <w:rsid w:val="00B2247A"/>
    <w:rsid w:val="00B24805"/>
    <w:rsid w:val="00B41462"/>
    <w:rsid w:val="00B54DF7"/>
    <w:rsid w:val="00BA26F4"/>
    <w:rsid w:val="00BA5AF4"/>
    <w:rsid w:val="00BB18A4"/>
    <w:rsid w:val="00BB4B57"/>
    <w:rsid w:val="00BD7A42"/>
    <w:rsid w:val="00C13811"/>
    <w:rsid w:val="00C45380"/>
    <w:rsid w:val="00C51433"/>
    <w:rsid w:val="00C640E7"/>
    <w:rsid w:val="00C76017"/>
    <w:rsid w:val="00C80782"/>
    <w:rsid w:val="00C8582C"/>
    <w:rsid w:val="00C942AB"/>
    <w:rsid w:val="00CB2961"/>
    <w:rsid w:val="00CC18FE"/>
    <w:rsid w:val="00CC271E"/>
    <w:rsid w:val="00CC6232"/>
    <w:rsid w:val="00CC78C1"/>
    <w:rsid w:val="00CD7B05"/>
    <w:rsid w:val="00CE7F21"/>
    <w:rsid w:val="00CF24A3"/>
    <w:rsid w:val="00CF66F3"/>
    <w:rsid w:val="00D02892"/>
    <w:rsid w:val="00D21188"/>
    <w:rsid w:val="00D27A0F"/>
    <w:rsid w:val="00D62C70"/>
    <w:rsid w:val="00D711F4"/>
    <w:rsid w:val="00D83AAE"/>
    <w:rsid w:val="00D91C06"/>
    <w:rsid w:val="00D966BD"/>
    <w:rsid w:val="00D969C2"/>
    <w:rsid w:val="00DA35CA"/>
    <w:rsid w:val="00DB2331"/>
    <w:rsid w:val="00DB5D0D"/>
    <w:rsid w:val="00DC29DD"/>
    <w:rsid w:val="00DD6A8A"/>
    <w:rsid w:val="00DD6EC6"/>
    <w:rsid w:val="00DE372B"/>
    <w:rsid w:val="00DE5D43"/>
    <w:rsid w:val="00DF1124"/>
    <w:rsid w:val="00DF2B78"/>
    <w:rsid w:val="00E02DA2"/>
    <w:rsid w:val="00E04667"/>
    <w:rsid w:val="00E056C3"/>
    <w:rsid w:val="00E11AD3"/>
    <w:rsid w:val="00E1550F"/>
    <w:rsid w:val="00E214BA"/>
    <w:rsid w:val="00E23AA2"/>
    <w:rsid w:val="00E3112F"/>
    <w:rsid w:val="00E35D61"/>
    <w:rsid w:val="00E43327"/>
    <w:rsid w:val="00E47C04"/>
    <w:rsid w:val="00E67CFA"/>
    <w:rsid w:val="00E82464"/>
    <w:rsid w:val="00E824CE"/>
    <w:rsid w:val="00E859C0"/>
    <w:rsid w:val="00E905ED"/>
    <w:rsid w:val="00E94FDC"/>
    <w:rsid w:val="00E958F6"/>
    <w:rsid w:val="00EB0536"/>
    <w:rsid w:val="00EC0708"/>
    <w:rsid w:val="00EC57F0"/>
    <w:rsid w:val="00ED6D62"/>
    <w:rsid w:val="00EF55CC"/>
    <w:rsid w:val="00EF6B92"/>
    <w:rsid w:val="00F05B1E"/>
    <w:rsid w:val="00F144F4"/>
    <w:rsid w:val="00F44BBC"/>
    <w:rsid w:val="00F612A5"/>
    <w:rsid w:val="00F671E2"/>
    <w:rsid w:val="00F75A6A"/>
    <w:rsid w:val="00F77E37"/>
    <w:rsid w:val="00F81BB5"/>
    <w:rsid w:val="00F94155"/>
    <w:rsid w:val="00FA430B"/>
    <w:rsid w:val="00FC1B71"/>
    <w:rsid w:val="00FC4FE6"/>
    <w:rsid w:val="00FD38B8"/>
    <w:rsid w:val="00FD7844"/>
    <w:rsid w:val="00FE0312"/>
    <w:rsid w:val="00FE447D"/>
    <w:rsid w:val="00FF591A"/>
    <w:rsid w:val="00FF5DB7"/>
    <w:rsid w:val="6006D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5A71E0"/>
  <w15:docId w15:val="{137E02B5-2EA6-4967-B9F6-A0E7DB37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pPr>
        <w:ind w:left="431" w:hanging="431"/>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A5"/>
    <w:pPr>
      <w:ind w:left="0" w:firstLine="0"/>
    </w:pPr>
    <w:rPr>
      <w:rFonts w:asciiTheme="minorHAnsi" w:hAnsiTheme="minorHAnsi"/>
      <w:sz w:val="24"/>
      <w:szCs w:val="24"/>
      <w:lang w:eastAsia="en-US"/>
    </w:rPr>
  </w:style>
  <w:style w:type="paragraph" w:styleId="Heading1">
    <w:name w:val="heading 1"/>
    <w:basedOn w:val="Normal"/>
    <w:next w:val="Normal"/>
    <w:link w:val="Heading1Char"/>
    <w:uiPriority w:val="99"/>
    <w:qFormat/>
    <w:rsid w:val="005927A0"/>
    <w:pPr>
      <w:keepNext/>
      <w:keepLines/>
      <w:outlineLvl w:val="0"/>
    </w:pPr>
    <w:rPr>
      <w:rFonts w:ascii="Calibri" w:eastAsia="Times New Roman" w:hAnsi="Calibri"/>
      <w:b/>
      <w:bCs/>
      <w:caps/>
      <w:color w:val="7AC142"/>
      <w:szCs w:val="32"/>
    </w:rPr>
  </w:style>
  <w:style w:type="paragraph" w:styleId="Heading2">
    <w:name w:val="heading 2"/>
    <w:basedOn w:val="Heading1"/>
    <w:next w:val="Normal"/>
    <w:link w:val="Heading2Char"/>
    <w:uiPriority w:val="9"/>
    <w:unhideWhenUsed/>
    <w:qFormat/>
    <w:rsid w:val="00E3112F"/>
    <w:pPr>
      <w:outlineLvl w:val="1"/>
    </w:pPr>
    <w:rPr>
      <w:rFonts w:eastAsiaTheme="majorEastAsia" w:cstheme="majorBidi"/>
      <w:bCs w:val="0"/>
      <w:caps w:val="0"/>
      <w:color w:val="auto"/>
      <w:szCs w:val="26"/>
    </w:rPr>
  </w:style>
  <w:style w:type="paragraph" w:styleId="Heading3">
    <w:name w:val="heading 3"/>
    <w:basedOn w:val="Normal"/>
    <w:next w:val="Normal"/>
    <w:link w:val="Heading3Char"/>
    <w:uiPriority w:val="9"/>
    <w:semiHidden/>
    <w:unhideWhenUsed/>
    <w:qFormat/>
    <w:rsid w:val="00D966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DFD"/>
    <w:rPr>
      <w:rFonts w:ascii="Calibri" w:eastAsia="Times New Roman" w:hAnsi="Calibri"/>
      <w:b/>
      <w:bCs/>
      <w:caps/>
      <w:color w:val="7AC142"/>
      <w:sz w:val="24"/>
      <w:szCs w:val="32"/>
      <w:lang w:eastAsia="en-US"/>
    </w:rPr>
  </w:style>
  <w:style w:type="paragraph" w:styleId="Header">
    <w:name w:val="header"/>
    <w:basedOn w:val="Normal"/>
    <w:link w:val="HeaderChar"/>
    <w:uiPriority w:val="99"/>
    <w:semiHidden/>
    <w:rsid w:val="003A3C6A"/>
    <w:pPr>
      <w:tabs>
        <w:tab w:val="center" w:pos="4320"/>
        <w:tab w:val="right" w:pos="8640"/>
      </w:tabs>
    </w:pPr>
  </w:style>
  <w:style w:type="character" w:customStyle="1" w:styleId="HeaderChar">
    <w:name w:val="Header Char"/>
    <w:basedOn w:val="DefaultParagraphFont"/>
    <w:link w:val="Header"/>
    <w:uiPriority w:val="99"/>
    <w:semiHidden/>
    <w:locked/>
    <w:rsid w:val="003A3C6A"/>
    <w:rPr>
      <w:rFonts w:cs="Times New Roman"/>
    </w:rPr>
  </w:style>
  <w:style w:type="paragraph" w:styleId="Footer">
    <w:name w:val="footer"/>
    <w:basedOn w:val="Normal"/>
    <w:link w:val="FooterChar"/>
    <w:uiPriority w:val="99"/>
    <w:rsid w:val="003A3C6A"/>
    <w:pPr>
      <w:tabs>
        <w:tab w:val="center" w:pos="4320"/>
        <w:tab w:val="right" w:pos="8640"/>
      </w:tabs>
    </w:pPr>
  </w:style>
  <w:style w:type="character" w:customStyle="1" w:styleId="FooterChar">
    <w:name w:val="Footer Char"/>
    <w:basedOn w:val="DefaultParagraphFont"/>
    <w:link w:val="Footer"/>
    <w:uiPriority w:val="99"/>
    <w:locked/>
    <w:rsid w:val="003A3C6A"/>
    <w:rPr>
      <w:rFonts w:cs="Times New Roman"/>
    </w:rPr>
  </w:style>
  <w:style w:type="paragraph" w:customStyle="1" w:styleId="PostHeader368">
    <w:name w:val="Post Header 368"/>
    <w:basedOn w:val="Normal"/>
    <w:uiPriority w:val="99"/>
    <w:rsid w:val="00537B20"/>
    <w:pPr>
      <w:ind w:left="-851"/>
    </w:pPr>
    <w:rPr>
      <w:rFonts w:ascii="Calibri" w:hAnsi="Calibri"/>
      <w:b/>
      <w:color w:val="7AC142"/>
      <w:sz w:val="160"/>
    </w:rPr>
  </w:style>
  <w:style w:type="paragraph" w:customStyle="1" w:styleId="PostHeader200">
    <w:name w:val="Post Header 200"/>
    <w:basedOn w:val="PostHeader368"/>
    <w:uiPriority w:val="99"/>
    <w:rsid w:val="00537B20"/>
    <w:rPr>
      <w:color w:val="B71234"/>
    </w:rPr>
  </w:style>
  <w:style w:type="paragraph" w:customStyle="1" w:styleId="CPPBody">
    <w:name w:val="CPP Body"/>
    <w:basedOn w:val="Normal"/>
    <w:uiPriority w:val="99"/>
    <w:rsid w:val="005301B4"/>
    <w:pPr>
      <w:spacing w:line="360" w:lineRule="auto"/>
      <w:ind w:left="-426"/>
    </w:pPr>
    <w:rPr>
      <w:rFonts w:ascii="Calibri" w:hAnsi="Calibri"/>
      <w:color w:val="575859"/>
      <w:sz w:val="20"/>
    </w:rPr>
  </w:style>
  <w:style w:type="paragraph" w:customStyle="1" w:styleId="CPPBodyBold">
    <w:name w:val="CPP Body Bold"/>
    <w:basedOn w:val="Normal"/>
    <w:uiPriority w:val="99"/>
    <w:rsid w:val="005301B4"/>
    <w:pPr>
      <w:spacing w:line="360" w:lineRule="auto"/>
      <w:ind w:left="-426"/>
    </w:pPr>
    <w:rPr>
      <w:rFonts w:ascii="Calibri" w:hAnsi="Calibri"/>
      <w:b/>
      <w:color w:val="575859"/>
      <w:sz w:val="20"/>
    </w:rPr>
  </w:style>
  <w:style w:type="paragraph" w:customStyle="1" w:styleId="PostHeader555">
    <w:name w:val="Post Header 555"/>
    <w:basedOn w:val="Normal"/>
    <w:uiPriority w:val="99"/>
    <w:rsid w:val="00537B20"/>
    <w:pPr>
      <w:ind w:left="-851"/>
    </w:pPr>
    <w:rPr>
      <w:rFonts w:ascii="Calibri" w:hAnsi="Calibri"/>
      <w:b/>
      <w:color w:val="055437"/>
      <w:sz w:val="160"/>
    </w:rPr>
  </w:style>
  <w:style w:type="paragraph" w:customStyle="1" w:styleId="PostHeader484">
    <w:name w:val="Post Header 484"/>
    <w:basedOn w:val="PostHeader368"/>
    <w:uiPriority w:val="99"/>
    <w:rsid w:val="00494CEE"/>
    <w:rPr>
      <w:color w:val="983222"/>
    </w:rPr>
  </w:style>
  <w:style w:type="paragraph" w:customStyle="1" w:styleId="PostHeader1395">
    <w:name w:val="Post Header 1395"/>
    <w:basedOn w:val="PostHeader368"/>
    <w:uiPriority w:val="99"/>
    <w:rsid w:val="00494CEE"/>
    <w:rPr>
      <w:color w:val="9C6114"/>
    </w:rPr>
  </w:style>
  <w:style w:type="paragraph" w:customStyle="1" w:styleId="PostHeader110">
    <w:name w:val="Post Header 110"/>
    <w:basedOn w:val="PostHeader368"/>
    <w:uiPriority w:val="99"/>
    <w:rsid w:val="00494CEE"/>
    <w:rPr>
      <w:color w:val="D7A900"/>
    </w:rPr>
  </w:style>
  <w:style w:type="paragraph" w:customStyle="1" w:styleId="PostHeader145">
    <w:name w:val="Post Header 145"/>
    <w:basedOn w:val="PostHeader368"/>
    <w:uiPriority w:val="99"/>
    <w:rsid w:val="00494CEE"/>
    <w:rPr>
      <w:color w:val="CA7700"/>
    </w:rPr>
  </w:style>
  <w:style w:type="paragraph" w:customStyle="1" w:styleId="PostHeader397">
    <w:name w:val="Post Header 397"/>
    <w:basedOn w:val="PostHeader368"/>
    <w:uiPriority w:val="99"/>
    <w:rsid w:val="00494CEE"/>
    <w:rPr>
      <w:color w:val="C1BB00"/>
    </w:rPr>
  </w:style>
  <w:style w:type="paragraph" w:customStyle="1" w:styleId="PostHeader550">
    <w:name w:val="Post Header 550"/>
    <w:basedOn w:val="PostHeader368"/>
    <w:uiPriority w:val="99"/>
    <w:rsid w:val="00494CEE"/>
    <w:rPr>
      <w:color w:val="8CB8C6"/>
    </w:rPr>
  </w:style>
  <w:style w:type="paragraph" w:customStyle="1" w:styleId="PostHeader5135">
    <w:name w:val="Post Header 5135"/>
    <w:basedOn w:val="PostHeader368"/>
    <w:uiPriority w:val="99"/>
    <w:rsid w:val="00437A68"/>
    <w:rPr>
      <w:color w:val="865F7F"/>
    </w:rPr>
  </w:style>
  <w:style w:type="paragraph" w:customStyle="1" w:styleId="PostHeader7529">
    <w:name w:val="Post Header 7529"/>
    <w:basedOn w:val="PostHeader368"/>
    <w:uiPriority w:val="99"/>
    <w:rsid w:val="00437A68"/>
    <w:rPr>
      <w:color w:val="BDB1A6"/>
    </w:rPr>
  </w:style>
  <w:style w:type="paragraph" w:customStyle="1" w:styleId="PostHeaderCool9">
    <w:name w:val="Post Header Cool 9"/>
    <w:basedOn w:val="PostHeader368"/>
    <w:uiPriority w:val="99"/>
    <w:rsid w:val="00437A68"/>
    <w:rPr>
      <w:color w:val="747678"/>
    </w:rPr>
  </w:style>
  <w:style w:type="paragraph" w:customStyle="1" w:styleId="PostSubHead368">
    <w:name w:val="Post SubHead 368"/>
    <w:basedOn w:val="PostHeader368"/>
    <w:uiPriority w:val="99"/>
    <w:rsid w:val="00437A68"/>
    <w:rPr>
      <w:sz w:val="60"/>
    </w:rPr>
  </w:style>
  <w:style w:type="paragraph" w:customStyle="1" w:styleId="PostSubHead555">
    <w:name w:val="Post SubHead 555"/>
    <w:basedOn w:val="PostSubHead368"/>
    <w:uiPriority w:val="99"/>
    <w:rsid w:val="00437A68"/>
    <w:rPr>
      <w:color w:val="055437"/>
    </w:rPr>
  </w:style>
  <w:style w:type="paragraph" w:styleId="BalloonText">
    <w:name w:val="Balloon Text"/>
    <w:basedOn w:val="Normal"/>
    <w:link w:val="BalloonTextChar"/>
    <w:uiPriority w:val="99"/>
    <w:semiHidden/>
    <w:unhideWhenUsed/>
    <w:rsid w:val="00C8582C"/>
    <w:rPr>
      <w:rFonts w:ascii="Tahoma" w:hAnsi="Tahoma" w:cs="Tahoma"/>
      <w:sz w:val="16"/>
      <w:szCs w:val="16"/>
    </w:rPr>
  </w:style>
  <w:style w:type="character" w:customStyle="1" w:styleId="BalloonTextChar">
    <w:name w:val="Balloon Text Char"/>
    <w:basedOn w:val="DefaultParagraphFont"/>
    <w:link w:val="BalloonText"/>
    <w:uiPriority w:val="99"/>
    <w:semiHidden/>
    <w:rsid w:val="00C8582C"/>
    <w:rPr>
      <w:rFonts w:ascii="Tahoma" w:hAnsi="Tahoma" w:cs="Tahoma"/>
      <w:sz w:val="16"/>
      <w:szCs w:val="16"/>
      <w:lang w:val="en-US" w:eastAsia="en-US"/>
    </w:rPr>
  </w:style>
  <w:style w:type="paragraph" w:styleId="TOC1">
    <w:name w:val="toc 1"/>
    <w:basedOn w:val="Normal"/>
    <w:next w:val="Normal"/>
    <w:autoRedefine/>
    <w:uiPriority w:val="39"/>
    <w:unhideWhenUsed/>
    <w:rsid w:val="003C1B99"/>
    <w:pPr>
      <w:numPr>
        <w:numId w:val="6"/>
      </w:numPr>
      <w:tabs>
        <w:tab w:val="left" w:pos="567"/>
        <w:tab w:val="right" w:leader="dot" w:pos="9356"/>
      </w:tabs>
      <w:spacing w:after="120"/>
      <w:ind w:left="357" w:hanging="357"/>
    </w:pPr>
    <w:rPr>
      <w:rFonts w:ascii="Calibri" w:hAnsi="Calibri"/>
      <w:b/>
      <w:caps/>
      <w:noProof/>
    </w:rPr>
  </w:style>
  <w:style w:type="character" w:styleId="Hyperlink">
    <w:name w:val="Hyperlink"/>
    <w:basedOn w:val="DefaultParagraphFont"/>
    <w:uiPriority w:val="99"/>
    <w:unhideWhenUsed/>
    <w:rsid w:val="009D2345"/>
    <w:rPr>
      <w:color w:val="0000FF" w:themeColor="hyperlink"/>
      <w:u w:val="single"/>
    </w:rPr>
  </w:style>
  <w:style w:type="paragraph" w:styleId="ListParagraph">
    <w:name w:val="List Paragraph"/>
    <w:basedOn w:val="Normal"/>
    <w:uiPriority w:val="34"/>
    <w:qFormat/>
    <w:rsid w:val="003C1B99"/>
    <w:pPr>
      <w:ind w:left="720"/>
      <w:contextualSpacing/>
    </w:pPr>
    <w:rPr>
      <w:rFonts w:ascii="Calibri" w:hAnsi="Calibri"/>
      <w:b/>
      <w:color w:val="7AC142"/>
    </w:rPr>
  </w:style>
  <w:style w:type="character" w:customStyle="1" w:styleId="Heading2Char">
    <w:name w:val="Heading 2 Char"/>
    <w:basedOn w:val="DefaultParagraphFont"/>
    <w:link w:val="Heading2"/>
    <w:uiPriority w:val="9"/>
    <w:rsid w:val="00E3112F"/>
    <w:rPr>
      <w:rFonts w:ascii="Calibri" w:eastAsiaTheme="majorEastAsia" w:hAnsi="Calibri" w:cstheme="majorBidi"/>
      <w:b/>
      <w:sz w:val="24"/>
      <w:szCs w:val="26"/>
      <w:lang w:eastAsia="en-US"/>
    </w:rPr>
  </w:style>
  <w:style w:type="table" w:styleId="LightList-Accent3">
    <w:name w:val="Light List Accent 3"/>
    <w:basedOn w:val="TableNormal"/>
    <w:uiPriority w:val="61"/>
    <w:rsid w:val="00F94155"/>
    <w:rPr>
      <w:rFonts w:asciiTheme="minorHAnsi" w:eastAsiaTheme="minorHAnsi" w:hAnsi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le">
    <w:name w:val="Title"/>
    <w:basedOn w:val="Normal"/>
    <w:link w:val="TitleChar"/>
    <w:qFormat/>
    <w:rsid w:val="00A569FA"/>
    <w:pPr>
      <w:jc w:val="center"/>
    </w:pPr>
    <w:rPr>
      <w:rFonts w:ascii="Times New Roman" w:eastAsia="Times New Roman" w:hAnsi="Times New Roman"/>
      <w:b/>
      <w:bCs/>
      <w:sz w:val="28"/>
      <w:u w:val="single"/>
    </w:rPr>
  </w:style>
  <w:style w:type="character" w:customStyle="1" w:styleId="TitleChar">
    <w:name w:val="Title Char"/>
    <w:basedOn w:val="DefaultParagraphFont"/>
    <w:link w:val="Title"/>
    <w:rsid w:val="00A569FA"/>
    <w:rPr>
      <w:rFonts w:ascii="Times New Roman" w:eastAsia="Times New Roman" w:hAnsi="Times New Roman"/>
      <w:b/>
      <w:bCs/>
      <w:sz w:val="28"/>
      <w:szCs w:val="24"/>
      <w:u w:val="single"/>
      <w:lang w:eastAsia="en-US"/>
    </w:rPr>
  </w:style>
  <w:style w:type="paragraph" w:customStyle="1" w:styleId="body">
    <w:name w:val="body"/>
    <w:basedOn w:val="Normal"/>
    <w:rsid w:val="00A569FA"/>
    <w:pPr>
      <w:spacing w:before="100" w:beforeAutospacing="1" w:after="100" w:afterAutospacing="1"/>
    </w:pPr>
    <w:rPr>
      <w:rFonts w:ascii="Times New Roman" w:eastAsia="Times New Roman" w:hAnsi="Times New Roman"/>
      <w:lang w:eastAsia="en-GB"/>
    </w:rPr>
  </w:style>
  <w:style w:type="paragraph" w:styleId="PlainText">
    <w:name w:val="Plain Text"/>
    <w:basedOn w:val="Normal"/>
    <w:link w:val="PlainTextChar"/>
    <w:rsid w:val="00886DB9"/>
    <w:rPr>
      <w:rFonts w:ascii="Courier New" w:eastAsia="Times New Roman" w:hAnsi="Courier New"/>
      <w:snapToGrid w:val="0"/>
      <w:sz w:val="20"/>
      <w:szCs w:val="20"/>
    </w:rPr>
  </w:style>
  <w:style w:type="character" w:customStyle="1" w:styleId="PlainTextChar">
    <w:name w:val="Plain Text Char"/>
    <w:basedOn w:val="DefaultParagraphFont"/>
    <w:link w:val="PlainText"/>
    <w:rsid w:val="00886DB9"/>
    <w:rPr>
      <w:rFonts w:ascii="Courier New" w:eastAsia="Times New Roman" w:hAnsi="Courier New"/>
      <w:snapToGrid w:val="0"/>
      <w:sz w:val="20"/>
      <w:szCs w:val="20"/>
      <w:lang w:eastAsia="en-US"/>
    </w:rPr>
  </w:style>
  <w:style w:type="paragraph" w:customStyle="1" w:styleId="BodyText1">
    <w:name w:val="Body Text1"/>
    <w:basedOn w:val="Normal"/>
    <w:rsid w:val="00486FD7"/>
    <w:pPr>
      <w:ind w:firstLine="720"/>
    </w:pPr>
    <w:rPr>
      <w:rFonts w:ascii="Arial" w:eastAsia="Times New Roman" w:hAnsi="Arial" w:cs="Arial"/>
      <w:sz w:val="22"/>
      <w:szCs w:val="22"/>
    </w:rPr>
  </w:style>
  <w:style w:type="paragraph" w:styleId="NormalWeb">
    <w:name w:val="Normal (Web)"/>
    <w:basedOn w:val="Normal"/>
    <w:rsid w:val="004C7B80"/>
    <w:pPr>
      <w:spacing w:before="100" w:beforeAutospacing="1" w:after="100" w:afterAutospacing="1"/>
    </w:pPr>
    <w:rPr>
      <w:rFonts w:ascii="Times New Roman" w:eastAsia="Times New Roman" w:hAnsi="Times New Roman"/>
      <w:lang w:eastAsia="en-GB"/>
    </w:rPr>
  </w:style>
  <w:style w:type="paragraph" w:customStyle="1" w:styleId="Default">
    <w:name w:val="Default"/>
    <w:rsid w:val="004122DB"/>
    <w:pPr>
      <w:autoSpaceDE w:val="0"/>
      <w:autoSpaceDN w:val="0"/>
      <w:adjustRightInd w:val="0"/>
    </w:pPr>
    <w:rPr>
      <w:rFonts w:ascii="Arial" w:eastAsia="Times New Roman" w:hAnsi="Arial" w:cs="Arial"/>
      <w:color w:val="000000"/>
      <w:sz w:val="24"/>
      <w:szCs w:val="24"/>
      <w:lang w:val="en-US" w:eastAsia="en-US"/>
    </w:rPr>
  </w:style>
  <w:style w:type="paragraph" w:customStyle="1" w:styleId="Body1">
    <w:name w:val="Body 1"/>
    <w:basedOn w:val="Normal"/>
    <w:uiPriority w:val="99"/>
    <w:rsid w:val="004122DB"/>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pPr>
    <w:rPr>
      <w:rFonts w:ascii="Times New Roman" w:eastAsia="Times New Roman" w:hAnsi="Times New Roman"/>
      <w:sz w:val="23"/>
      <w:szCs w:val="20"/>
    </w:rPr>
  </w:style>
  <w:style w:type="paragraph" w:customStyle="1" w:styleId="Heading20">
    <w:name w:val="Heading2"/>
    <w:basedOn w:val="Normal"/>
    <w:qFormat/>
    <w:rsid w:val="00591976"/>
    <w:rPr>
      <w:rFonts w:eastAsia="Times New Roman" w:cstheme="minorHAnsi"/>
      <w:b/>
    </w:rPr>
  </w:style>
  <w:style w:type="character" w:styleId="Strong">
    <w:name w:val="Strong"/>
    <w:basedOn w:val="DefaultParagraphFont"/>
    <w:rsid w:val="001B0C08"/>
    <w:rPr>
      <w:b/>
      <w:bCs/>
    </w:rPr>
  </w:style>
  <w:style w:type="paragraph" w:customStyle="1" w:styleId="Level2">
    <w:name w:val="Level2"/>
    <w:basedOn w:val="Normal"/>
    <w:qFormat/>
    <w:rsid w:val="001B0C08"/>
    <w:rPr>
      <w:rFonts w:ascii="Calibri" w:eastAsia="Times New Roman" w:hAnsi="Calibri"/>
    </w:rPr>
  </w:style>
  <w:style w:type="paragraph" w:customStyle="1" w:styleId="Level4">
    <w:name w:val="Level4"/>
    <w:basedOn w:val="Normal"/>
    <w:qFormat/>
    <w:rsid w:val="001B0C08"/>
    <w:pPr>
      <w:numPr>
        <w:numId w:val="1"/>
      </w:numPr>
      <w:ind w:hanging="720"/>
    </w:pPr>
    <w:rPr>
      <w:rFonts w:eastAsia="Times New Roman" w:cstheme="minorHAnsi"/>
    </w:rPr>
  </w:style>
  <w:style w:type="paragraph" w:customStyle="1" w:styleId="Level6">
    <w:name w:val="Level6"/>
    <w:basedOn w:val="Normal"/>
    <w:qFormat/>
    <w:rsid w:val="00591976"/>
    <w:pPr>
      <w:numPr>
        <w:numId w:val="2"/>
      </w:numPr>
      <w:ind w:hanging="720"/>
    </w:pPr>
    <w:rPr>
      <w:rFonts w:eastAsia="Times New Roman" w:cstheme="minorHAnsi"/>
    </w:rPr>
  </w:style>
  <w:style w:type="paragraph" w:customStyle="1" w:styleId="Level8">
    <w:name w:val="Level8"/>
    <w:basedOn w:val="Normal"/>
    <w:qFormat/>
    <w:rsid w:val="000C4D81"/>
    <w:pPr>
      <w:numPr>
        <w:numId w:val="3"/>
      </w:numPr>
      <w:ind w:hanging="720"/>
    </w:pPr>
    <w:rPr>
      <w:rFonts w:eastAsia="Times New Roman" w:cstheme="minorHAnsi"/>
    </w:rPr>
  </w:style>
  <w:style w:type="paragraph" w:customStyle="1" w:styleId="Level7">
    <w:name w:val="Level7"/>
    <w:basedOn w:val="Level6"/>
    <w:qFormat/>
    <w:rsid w:val="00FE447D"/>
    <w:pPr>
      <w:numPr>
        <w:numId w:val="4"/>
      </w:numPr>
      <w:ind w:hanging="720"/>
    </w:pPr>
  </w:style>
  <w:style w:type="paragraph" w:styleId="TOC2">
    <w:name w:val="toc 2"/>
    <w:basedOn w:val="Normal"/>
    <w:next w:val="Normal"/>
    <w:autoRedefine/>
    <w:uiPriority w:val="39"/>
    <w:unhideWhenUsed/>
    <w:rsid w:val="00E3112F"/>
    <w:pPr>
      <w:tabs>
        <w:tab w:val="right" w:leader="dot" w:pos="8789"/>
      </w:tabs>
      <w:spacing w:after="120"/>
      <w:ind w:left="567"/>
    </w:pPr>
    <w:rPr>
      <w:rFonts w:eastAsia="Times New Roman"/>
      <w:noProof/>
      <w:sz w:val="22"/>
      <w:lang w:eastAsia="en-GB"/>
    </w:rPr>
  </w:style>
  <w:style w:type="paragraph" w:styleId="TOCHeading">
    <w:name w:val="TOC Heading"/>
    <w:basedOn w:val="Heading1"/>
    <w:next w:val="Normal"/>
    <w:uiPriority w:val="39"/>
    <w:semiHidden/>
    <w:unhideWhenUsed/>
    <w:qFormat/>
    <w:rsid w:val="005927A0"/>
    <w:pPr>
      <w:spacing w:before="480" w:line="276" w:lineRule="auto"/>
      <w:outlineLvl w:val="9"/>
    </w:pPr>
    <w:rPr>
      <w:rFonts w:asciiTheme="majorHAnsi" w:eastAsiaTheme="majorEastAsia" w:hAnsiTheme="majorHAnsi" w:cstheme="majorBidi"/>
      <w:caps w:val="0"/>
      <w:color w:val="365F91" w:themeColor="accent1" w:themeShade="BF"/>
      <w:sz w:val="28"/>
      <w:szCs w:val="28"/>
      <w:lang w:val="en-US" w:eastAsia="ja-JP"/>
    </w:rPr>
  </w:style>
  <w:style w:type="character" w:customStyle="1" w:styleId="Heading3Char">
    <w:name w:val="Heading 3 Char"/>
    <w:basedOn w:val="DefaultParagraphFont"/>
    <w:link w:val="Heading3"/>
    <w:uiPriority w:val="9"/>
    <w:semiHidden/>
    <w:rsid w:val="00D966BD"/>
    <w:rPr>
      <w:rFonts w:asciiTheme="majorHAnsi" w:eastAsiaTheme="majorEastAsia" w:hAnsiTheme="majorHAnsi" w:cstheme="majorBidi"/>
      <w:b/>
      <w:bCs/>
      <w:color w:val="4F81BD" w:themeColor="accent1"/>
      <w:sz w:val="24"/>
      <w:szCs w:val="24"/>
      <w:lang w:eastAsia="en-US"/>
    </w:rPr>
  </w:style>
  <w:style w:type="paragraph" w:customStyle="1" w:styleId="ListBullet1">
    <w:name w:val="List Bullet 1"/>
    <w:basedOn w:val="Normal"/>
    <w:qFormat/>
    <w:rsid w:val="00D966BD"/>
    <w:pPr>
      <w:numPr>
        <w:numId w:val="7"/>
      </w:numPr>
    </w:pPr>
  </w:style>
  <w:style w:type="paragraph" w:styleId="FootnoteText">
    <w:name w:val="footnote text"/>
    <w:basedOn w:val="Normal"/>
    <w:link w:val="FootnoteTextChar"/>
    <w:uiPriority w:val="99"/>
    <w:semiHidden/>
    <w:unhideWhenUsed/>
    <w:rsid w:val="00BA5AF4"/>
    <w:rPr>
      <w:rFonts w:ascii="Cambria" w:hAnsi="Cambria"/>
      <w:sz w:val="20"/>
      <w:szCs w:val="20"/>
    </w:rPr>
  </w:style>
  <w:style w:type="character" w:customStyle="1" w:styleId="FootnoteTextChar">
    <w:name w:val="Footnote Text Char"/>
    <w:basedOn w:val="DefaultParagraphFont"/>
    <w:link w:val="FootnoteText"/>
    <w:uiPriority w:val="99"/>
    <w:semiHidden/>
    <w:rsid w:val="00BA5AF4"/>
    <w:rPr>
      <w:sz w:val="20"/>
      <w:szCs w:val="20"/>
      <w:lang w:eastAsia="en-US"/>
    </w:rPr>
  </w:style>
  <w:style w:type="character" w:styleId="FootnoteReference">
    <w:name w:val="footnote reference"/>
    <w:basedOn w:val="DefaultParagraphFont"/>
    <w:uiPriority w:val="99"/>
    <w:semiHidden/>
    <w:unhideWhenUsed/>
    <w:rsid w:val="00BA5AF4"/>
    <w:rPr>
      <w:vertAlign w:val="superscript"/>
    </w:rPr>
  </w:style>
  <w:style w:type="table" w:styleId="TableGrid">
    <w:name w:val="Table Grid"/>
    <w:basedOn w:val="TableNormal"/>
    <w:uiPriority w:val="59"/>
    <w:rsid w:val="00B12B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1B6C"/>
    <w:pPr>
      <w:ind w:left="0" w:firstLine="0"/>
      <w:jc w:val="left"/>
    </w:pPr>
    <w:rPr>
      <w:rFonts w:asciiTheme="minorHAnsi" w:hAnsiTheme="minorHAnsi"/>
      <w:sz w:val="24"/>
      <w:szCs w:val="24"/>
      <w:lang w:eastAsia="en-US"/>
    </w:rPr>
  </w:style>
  <w:style w:type="character" w:styleId="CommentReference">
    <w:name w:val="annotation reference"/>
    <w:basedOn w:val="DefaultParagraphFont"/>
    <w:uiPriority w:val="99"/>
    <w:semiHidden/>
    <w:unhideWhenUsed/>
    <w:rsid w:val="00C76017"/>
    <w:rPr>
      <w:sz w:val="16"/>
      <w:szCs w:val="16"/>
    </w:rPr>
  </w:style>
  <w:style w:type="paragraph" w:styleId="CommentText">
    <w:name w:val="annotation text"/>
    <w:basedOn w:val="Normal"/>
    <w:link w:val="CommentTextChar"/>
    <w:uiPriority w:val="99"/>
    <w:unhideWhenUsed/>
    <w:rsid w:val="00C76017"/>
    <w:rPr>
      <w:sz w:val="20"/>
      <w:szCs w:val="20"/>
    </w:rPr>
  </w:style>
  <w:style w:type="character" w:customStyle="1" w:styleId="CommentTextChar">
    <w:name w:val="Comment Text Char"/>
    <w:basedOn w:val="DefaultParagraphFont"/>
    <w:link w:val="CommentText"/>
    <w:uiPriority w:val="99"/>
    <w:rsid w:val="00C76017"/>
    <w:rPr>
      <w:rFonts w:ascii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76017"/>
    <w:rPr>
      <w:b/>
      <w:bCs/>
    </w:rPr>
  </w:style>
  <w:style w:type="character" w:customStyle="1" w:styleId="CommentSubjectChar">
    <w:name w:val="Comment Subject Char"/>
    <w:basedOn w:val="CommentTextChar"/>
    <w:link w:val="CommentSubject"/>
    <w:uiPriority w:val="99"/>
    <w:semiHidden/>
    <w:rsid w:val="00C76017"/>
    <w:rPr>
      <w:rFonts w:asciiTheme="minorHAnsi" w:hAnsi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5400312F1F2148BAE9519BCE268F08" ma:contentTypeVersion="31" ma:contentTypeDescription="Create a new document." ma:contentTypeScope="" ma:versionID="5600b90e7f1aa342826a26f3534d3648">
  <xsd:schema xmlns:xsd="http://www.w3.org/2001/XMLSchema" xmlns:xs="http://www.w3.org/2001/XMLSchema" xmlns:p="http://schemas.microsoft.com/office/2006/metadata/properties" xmlns:ns2="db4c8793-b834-4ca9-8f50-9b68e268f646" xmlns:ns3="de93105c-6615-4cc8-b60a-b0cd8edf2509" targetNamespace="http://schemas.microsoft.com/office/2006/metadata/properties" ma:root="true" ma:fieldsID="e48d2ccc42ed6313f60e6a3ae4805ee6" ns2:_="" ns3:_="">
    <xsd:import namespace="db4c8793-b834-4ca9-8f50-9b68e268f646"/>
    <xsd:import namespace="de93105c-6615-4cc8-b60a-b0cd8edf2509"/>
    <xsd:element name="properties">
      <xsd:complexType>
        <xsd:sequence>
          <xsd:element name="documentManagement">
            <xsd:complexType>
              <xsd:all>
                <xsd:element ref="ns2:LastApproved" minOccurs="0"/>
                <xsd:element ref="ns2:ApprovalDueDate"/>
                <xsd:element ref="ns2:PolicytobeReviewedW_x002f_C" minOccurs="0"/>
                <xsd:element ref="ns2:Approver" minOccurs="0"/>
                <xsd:element ref="ns2:Reviewer" minOccurs="0"/>
                <xsd:element ref="ns2:LeadPerson" minOccurs="0"/>
                <xsd:element ref="ns2:Status" minOccurs="0"/>
                <xsd:element ref="ns2:ChangeReason" minOccurs="0"/>
                <xsd:element ref="ns2:AdditionalComments" minOccurs="0"/>
                <xsd:element ref="ns2:LegalCheck" minOccurs="0"/>
                <xsd:element ref="ns2:LegalCheckComments" minOccurs="0"/>
                <xsd:element ref="ns2:Teams_x0020_that_x0020_can_x0020_view" minOccurs="0"/>
                <xsd:element ref="ns2:Archiv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InternalCommsRequired_x003f_" minOccurs="0"/>
                <xsd:element ref="ns2:Customercommsrequired_x003f_" minOccurs="0"/>
                <xsd:element ref="ns2:Togoonwebsite_x003f_" minOccurs="0"/>
                <xsd:element ref="ns2:Team_x0020_Library_x0020_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c8793-b834-4ca9-8f50-9b68e268f646" elementFormDefault="qualified">
    <xsd:import namespace="http://schemas.microsoft.com/office/2006/documentManagement/types"/>
    <xsd:import namespace="http://schemas.microsoft.com/office/infopath/2007/PartnerControls"/>
    <xsd:element name="LastApproved" ma:index="1" nillable="true" ma:displayName="Date of Approval" ma:format="DateOnly" ma:internalName="LastApproved">
      <xsd:simpleType>
        <xsd:restriction base="dms:DateTime"/>
      </xsd:simpleType>
    </xsd:element>
    <xsd:element name="ApprovalDueDate" ma:index="2" ma:displayName="Date of Next Approval" ma:format="DateOnly" ma:internalName="ApprovalDueDate">
      <xsd:simpleType>
        <xsd:restriction base="dms:DateTime"/>
      </xsd:simpleType>
    </xsd:element>
    <xsd:element name="PolicytobeReviewedW_x002f_C" ma:index="3" nillable="true" ma:displayName="Date to Start Review" ma:format="DateOnly" ma:internalName="PolicytobeReviewedW_x002f_C">
      <xsd:simpleType>
        <xsd:restriction base="dms:DateTime"/>
      </xsd:simpleType>
    </xsd:element>
    <xsd:element name="Approver" ma:index="4" nillable="true" ma:displayName="Approver" ma:format="Dropdown" ma:internalName="Approver">
      <xsd:simpleType>
        <xsd:restriction base="dms:Choice">
          <xsd:enumeration value="Audit Committee"/>
          <xsd:enumeration value="Board"/>
          <xsd:enumeration value="EMT"/>
          <xsd:enumeration value="Governance Committee"/>
          <xsd:enumeration value="SLT"/>
          <xsd:enumeration value="SMT"/>
        </xsd:restriction>
      </xsd:simpleType>
    </xsd:element>
    <xsd:element name="Reviewer" ma:index="5" nillable="true" ma:displayName="Reviewer" ma:format="Dropdown" ma:internalName="Reviewer">
      <xsd:complexType>
        <xsd:complexContent>
          <xsd:extension base="dms:MultiChoice">
            <xsd:sequence>
              <xsd:element name="Value" maxOccurs="unbounded" minOccurs="0" nillable="true">
                <xsd:simpleType>
                  <xsd:restriction base="dms:Choice">
                    <xsd:enumeration value="Audit Committee"/>
                    <xsd:enumeration value="Board"/>
                    <xsd:enumeration value="Challenge Group"/>
                    <xsd:enumeration value="EMT"/>
                    <xsd:enumeration value="Governance Committee"/>
                    <xsd:enumeration value="Health &amp; Safety Committee"/>
                    <xsd:enumeration value="Leaseholder Group"/>
                    <xsd:enumeration value="Staff Voice"/>
                    <xsd:enumeration value="SLT"/>
                    <xsd:enumeration value="SMT"/>
                  </xsd:restriction>
                </xsd:simpleType>
              </xsd:element>
            </xsd:sequence>
          </xsd:extension>
        </xsd:complexContent>
      </xsd:complexType>
    </xsd:element>
    <xsd:element name="LeadPerson" ma:index="6" nillable="true" ma:displayName="Lead Person" ma:format="Dropdown" ma:list="UserInfo" ma:SharePointGroup="0" ma:internalName="Lead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7" nillable="true" ma:displayName="Status" ma:format="Dropdown" ma:internalName="Status">
      <xsd:simpleType>
        <xsd:restriction base="dms:Text">
          <xsd:maxLength value="255"/>
        </xsd:restriction>
      </xsd:simpleType>
    </xsd:element>
    <xsd:element name="ChangeReason" ma:index="8" nillable="true" ma:displayName="Change Reason" ma:format="Dropdown" ma:internalName="ChangeReason">
      <xsd:simpleType>
        <xsd:restriction base="dms:Choice">
          <xsd:enumeration value="One Year Update"/>
          <xsd:enumeration value="Two Year Update"/>
          <xsd:enumeration value="Three Year Update"/>
          <xsd:enumeration value="Legal Change"/>
          <xsd:enumeration value="New Service"/>
        </xsd:restriction>
      </xsd:simpleType>
    </xsd:element>
    <xsd:element name="AdditionalComments" ma:index="9" nillable="true" ma:displayName="Additional Comments" ma:format="Dropdown" ma:internalName="AdditionalComments">
      <xsd:simpleType>
        <xsd:restriction base="dms:Note">
          <xsd:maxLength value="255"/>
        </xsd:restriction>
      </xsd:simpleType>
    </xsd:element>
    <xsd:element name="LegalCheck" ma:index="10" nillable="true" ma:displayName="Legal Check" ma:format="Dropdown" ma:internalName="LegalCheck">
      <xsd:simpleType>
        <xsd:restriction base="dms:Choice">
          <xsd:enumeration value="Yes"/>
          <xsd:enumeration value="No"/>
          <xsd:enumeration value="Awaiting policy lead verification"/>
        </xsd:restriction>
      </xsd:simpleType>
    </xsd:element>
    <xsd:element name="LegalCheckComments" ma:index="11" nillable="true" ma:displayName="Legal Check Comments" ma:format="Dropdown" ma:internalName="LegalCheckComments">
      <xsd:simpleType>
        <xsd:restriction base="dms:Note">
          <xsd:maxLength value="255"/>
        </xsd:restriction>
      </xsd:simpleType>
    </xsd:element>
    <xsd:element name="Teams_x0020_that_x0020_can_x0020_view" ma:index="12" nillable="true" ma:displayName="Teams that can view" ma:default="Everyone" ma:format="Dropdown" ma:internalName="Teams_x0020_that_x0020_can_x0020_view" ma:requiredMultiChoice="true">
      <xsd:complexType>
        <xsd:complexContent>
          <xsd:extension base="dms:MultiChoice">
            <xsd:sequence>
              <xsd:element name="Value" maxOccurs="unbounded" minOccurs="0" nillable="true">
                <xsd:simpleType>
                  <xsd:restriction base="dms:Choice">
                    <xsd:enumeration value="Everyone"/>
                    <xsd:enumeration value="ASB"/>
                    <xsd:enumeration value="Asset"/>
                    <xsd:enumeration value="Customer Experience"/>
                    <xsd:enumeration value="Development"/>
                    <xsd:enumeration value="Finance"/>
                    <xsd:enumeration value="Governance"/>
                    <xsd:enumeration value="HR"/>
                    <xsd:enumeration value="ICT"/>
                    <xsd:enumeration value="Income"/>
                    <xsd:enumeration value="New Tenancy"/>
                    <xsd:enumeration value="Repairs"/>
                  </xsd:restriction>
                </xsd:simpleType>
              </xsd:element>
            </xsd:sequence>
          </xsd:extension>
        </xsd:complexContent>
      </xsd:complexType>
    </xsd:element>
    <xsd:element name="Archived" ma:index="13" nillable="true" ma:displayName="Archived" ma:default="0" ma:format="Dropdown" ma:internalName="Archived">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InternalCommsRequired_x003f_" ma:index="28" nillable="true" ma:displayName="Internal comms required?" ma:default="0" ma:format="Dropdown" ma:internalName="InternalCommsRequired_x003f_">
      <xsd:simpleType>
        <xsd:restriction base="dms:Boolean"/>
      </xsd:simpleType>
    </xsd:element>
    <xsd:element name="Customercommsrequired_x003f_" ma:index="29" nillable="true" ma:displayName="Customer comms required?" ma:default="0" ma:format="Dropdown" ma:internalName="Customercommsrequired_x003f_">
      <xsd:simpleType>
        <xsd:restriction base="dms:Boolean"/>
      </xsd:simpleType>
    </xsd:element>
    <xsd:element name="Togoonwebsite_x003f_" ma:index="30" nillable="true" ma:displayName="To go on website?" ma:default="0" ma:format="Dropdown" ma:internalName="Togoonwebsite_x003f_">
      <xsd:simpleType>
        <xsd:restriction base="dms:Boolean"/>
      </xsd:simpleType>
    </xsd:element>
    <xsd:element name="Team_x0020_Library_x0020_Tags" ma:index="31" nillable="true" ma:displayName="Team Library Tags" ma:internalName="Team_x0020_Library_x0020_Tags">
      <xsd:complexType>
        <xsd:complexContent>
          <xsd:extension base="dms:MultiChoice">
            <xsd:sequence>
              <xsd:element name="Value" maxOccurs="unbounded" minOccurs="0" nillable="true">
                <xsd:simpleType>
                  <xsd:restriction base="dms:Choice">
                    <xsd:enumeration value="ASB"/>
                    <xsd:enumeration value="Assets"/>
                    <xsd:enumeration value="Communications"/>
                    <xsd:enumeration value="Compliance"/>
                    <xsd:enumeration value="Customer Experience"/>
                    <xsd:enumeration value="Development"/>
                    <xsd:enumeration value="Finance"/>
                    <xsd:enumeration value="Gas"/>
                    <xsd:enumeration value="Governance"/>
                    <xsd:enumeration value="Health &amp; Safety"/>
                    <xsd:enumeration value="Human Resources"/>
                    <xsd:enumeration value="Income"/>
                    <xsd:enumeration value="IT"/>
                    <xsd:enumeration value="Neighbourhood"/>
                    <xsd:enumeration value="Projects"/>
                    <xsd:enumeration value="Repairs"/>
                    <xsd:enumeration value="Risk &amp; Assurance"/>
                  </xsd:restriction>
                </xsd:simpleType>
              </xsd:element>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93105c-6615-4cc8-b60a-b0cd8edf250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db4c8793-b834-4ca9-8f50-9b68e268f646" xsi:nil="true"/>
    <InternalCommsRequired_x003f_ xmlns="db4c8793-b834-4ca9-8f50-9b68e268f646">true</InternalCommsRequired_x003f_>
    <ChangeReason xmlns="db4c8793-b834-4ca9-8f50-9b68e268f646">One Year Update</ChangeReason>
    <LastApproved xmlns="db4c8793-b834-4ca9-8f50-9b68e268f646">2024-01-30T00:00:00+00:00</LastApproved>
    <Reviewer xmlns="db4c8793-b834-4ca9-8f50-9b68e268f646">
      <Value>EMT</Value>
      <Value>Challenge Group</Value>
      <Value>Leaseholder Group</Value>
    </Reviewer>
    <LegalCheck xmlns="db4c8793-b834-4ca9-8f50-9b68e268f646" xsi:nil="true"/>
    <Approver xmlns="db4c8793-b834-4ca9-8f50-9b68e268f646">Board</Approver>
    <LegalCheckComments xmlns="db4c8793-b834-4ca9-8f50-9b68e268f646" xsi:nil="true"/>
    <Customercommsrequired_x003f_ xmlns="db4c8793-b834-4ca9-8f50-9b68e268f646">true</Customercommsrequired_x003f_>
    <Togoonwebsite_x003f_ xmlns="db4c8793-b834-4ca9-8f50-9b68e268f646">true</Togoonwebsite_x003f_>
    <ApprovalDueDate xmlns="db4c8793-b834-4ca9-8f50-9b68e268f646">2025-01-31T00:00:00+00:00</ApprovalDueDate>
    <Archived xmlns="db4c8793-b834-4ca9-8f50-9b68e268f646">false</Archived>
    <LeadPerson xmlns="db4c8793-b834-4ca9-8f50-9b68e268f646">
      <UserInfo>
        <DisplayName>Sarah Vance</DisplayName>
        <AccountId>398</AccountId>
        <AccountType/>
      </UserInfo>
    </LeadPerson>
    <AdditionalComments xmlns="db4c8793-b834-4ca9-8f50-9b68e268f646" xsi:nil="true"/>
    <Teams_x0020_that_x0020_can_x0020_view xmlns="db4c8793-b834-4ca9-8f50-9b68e268f646">
      <Value>Everyone</Value>
    </Teams_x0020_that_x0020_can_x0020_view>
    <PolicytobeReviewedW_x002f_C xmlns="db4c8793-b834-4ca9-8f50-9b68e268f646">2024-08-31T23:00:00+00:00</PolicytobeReviewedW_x002f_C>
    <_Flow_SignoffStatus xmlns="db4c8793-b834-4ca9-8f50-9b68e268f646" xsi:nil="true"/>
    <Team_x0020_Library_x0020_Tags xmlns="db4c8793-b834-4ca9-8f50-9b68e268f646" xsi:nil="true"/>
  </documentManagement>
</p:properties>
</file>

<file path=customXml/itemProps1.xml><?xml version="1.0" encoding="utf-8"?>
<ds:datastoreItem xmlns:ds="http://schemas.openxmlformats.org/officeDocument/2006/customXml" ds:itemID="{095F57DD-2C1F-4048-B128-2FCEF3AB69FB}"/>
</file>

<file path=customXml/itemProps2.xml><?xml version="1.0" encoding="utf-8"?>
<ds:datastoreItem xmlns:ds="http://schemas.openxmlformats.org/officeDocument/2006/customXml" ds:itemID="{95579330-4E42-40A4-9437-A9965D7EE36D}">
  <ds:schemaRefs>
    <ds:schemaRef ds:uri="http://schemas.microsoft.com/sharepoint/v3/contenttype/forms"/>
  </ds:schemaRefs>
</ds:datastoreItem>
</file>

<file path=customXml/itemProps3.xml><?xml version="1.0" encoding="utf-8"?>
<ds:datastoreItem xmlns:ds="http://schemas.openxmlformats.org/officeDocument/2006/customXml" ds:itemID="{951485F9-34E1-4642-95BC-EF3B421D0132}">
  <ds:schemaRefs>
    <ds:schemaRef ds:uri="http://schemas.openxmlformats.org/officeDocument/2006/bibliography"/>
  </ds:schemaRefs>
</ds:datastoreItem>
</file>

<file path=customXml/itemProps4.xml><?xml version="1.0" encoding="utf-8"?>
<ds:datastoreItem xmlns:ds="http://schemas.openxmlformats.org/officeDocument/2006/customXml" ds:itemID="{C7D26A47-1C35-433E-902F-0B35CBEE47A5}">
  <ds:schemaRefs>
    <ds:schemaRef ds:uri="http://purl.org/dc/terms/"/>
    <ds:schemaRef ds:uri="http://schemas.openxmlformats.org/package/2006/metadata/core-properties"/>
    <ds:schemaRef ds:uri="http://schemas.microsoft.com/office/2006/documentManagement/types"/>
    <ds:schemaRef ds:uri="5264198d-e7de-4353-be3a-eb65fe17c2f1"/>
    <ds:schemaRef ds:uri="http://schemas.microsoft.com/office/2006/metadata/properties"/>
    <ds:schemaRef ds:uri="http://purl.org/dc/dcmitype/"/>
    <ds:schemaRef ds:uri="http://purl.org/dc/elements/1.1/"/>
    <ds:schemaRef ds:uri="2dad36e7-eb71-44d5-8ee6-7b550f03c2eb"/>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1701</Words>
  <Characters>9033</Characters>
  <Application>Microsoft Office Word</Application>
  <DocSecurity>0</DocSecurity>
  <Lines>75</Lines>
  <Paragraphs>21</Paragraphs>
  <ScaleCrop>false</ScaleCrop>
  <Company>Pitch&amp;Co</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Jade Cegielski</dc:creator>
  <cp:lastModifiedBy>Jen Hayball</cp:lastModifiedBy>
  <cp:revision>6</cp:revision>
  <cp:lastPrinted>2024-01-22T15:09:00Z</cp:lastPrinted>
  <dcterms:created xsi:type="dcterms:W3CDTF">2024-01-15T13:28:00Z</dcterms:created>
  <dcterms:modified xsi:type="dcterms:W3CDTF">2024-02-07T14:17:00Z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0x010100345400312F1F2148BAE9519BCE268F08</vt:lpwstr>
  </property>
</Properties>
</file>